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1223</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DB14/T</w:t>
      </w:r>
      <w:r>
        <w:rPr>
          <w:rFonts w:hint="eastAsia" w:hAnsi="黑体"/>
        </w:rPr>
        <w:t xml:space="preserve"> </w:t>
      </w:r>
      <w:r>
        <w:rPr>
          <w:rFonts w:hAnsi="黑体"/>
        </w:rPr>
        <w:t>1223-2016</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设施甜瓜主要病虫害绿色防控技术规程     </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"_Toc173502088" </w:instrText>
      </w:r>
      <w:r>
        <w:fldChar w:fldCharType="separate"/>
      </w:r>
      <w:r>
        <w:rPr>
          <w:rStyle w:val="32"/>
          <w:rFonts w:hint="eastAsia"/>
        </w:rPr>
        <w:t>前言</w:t>
      </w:r>
      <w:r>
        <w:tab/>
      </w:r>
      <w:r>
        <w:fldChar w:fldCharType="begin"/>
      </w:r>
      <w:r>
        <w:instrText xml:space="preserve"> PAGEREF _Toc173502088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"_Toc173502089" </w:instrText>
      </w:r>
      <w:r>
        <w:fldChar w:fldCharType="separate"/>
      </w:r>
      <w:r>
        <w:rPr>
          <w:rStyle w:val="32"/>
        </w:rPr>
        <w:t xml:space="preserve">1 </w:t>
      </w:r>
      <w:r>
        <w:rPr>
          <w:rStyle w:val="32"/>
          <w:rFonts w:hint="eastAsia" w:ascii="Times New Roman"/>
        </w:rPr>
        <w:t xml:space="preserve"> 范围</w:t>
      </w:r>
      <w:r>
        <w:tab/>
      </w:r>
      <w:r>
        <w:fldChar w:fldCharType="begin"/>
      </w:r>
      <w:r>
        <w:instrText xml:space="preserve"> PAGEREF _Toc173502089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"_Toc173502090" </w:instrText>
      </w:r>
      <w:r>
        <w:fldChar w:fldCharType="separate"/>
      </w:r>
      <w:r>
        <w:rPr>
          <w:rStyle w:val="32"/>
        </w:rPr>
        <w:t xml:space="preserve">2 </w:t>
      </w:r>
      <w:r>
        <w:rPr>
          <w:rStyle w:val="32"/>
          <w:rFonts w:hint="eastAsia" w:ascii="Times New Roman"/>
        </w:rPr>
        <w:t xml:space="preserve"> 规范性引用文件</w:t>
      </w:r>
      <w:r>
        <w:tab/>
      </w:r>
      <w:r>
        <w:fldChar w:fldCharType="begin"/>
      </w:r>
      <w:r>
        <w:instrText xml:space="preserve"> PAGEREF _Toc173502090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"_Toc173502091" </w:instrText>
      </w:r>
      <w:r>
        <w:fldChar w:fldCharType="separate"/>
      </w:r>
      <w:r>
        <w:rPr>
          <w:rStyle w:val="32"/>
        </w:rPr>
        <w:t xml:space="preserve">3 </w:t>
      </w:r>
      <w:r>
        <w:rPr>
          <w:rStyle w:val="32"/>
          <w:rFonts w:hint="eastAsia" w:ascii="Times New Roman"/>
        </w:rPr>
        <w:t xml:space="preserve"> 术语和定义</w:t>
      </w:r>
      <w:r>
        <w:tab/>
      </w:r>
      <w:r>
        <w:fldChar w:fldCharType="begin"/>
      </w:r>
      <w:r>
        <w:instrText xml:space="preserve"> PAGEREF _Toc173502091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"_Toc173502092" </w:instrText>
      </w:r>
      <w:r>
        <w:fldChar w:fldCharType="separate"/>
      </w:r>
      <w:r>
        <w:rPr>
          <w:rStyle w:val="32"/>
        </w:rPr>
        <w:t xml:space="preserve">4 </w:t>
      </w:r>
      <w:r>
        <w:rPr>
          <w:rStyle w:val="32"/>
          <w:rFonts w:hint="eastAsia" w:ascii="Times New Roman"/>
        </w:rPr>
        <w:t xml:space="preserve"> 防治要求</w:t>
      </w:r>
      <w:r>
        <w:tab/>
      </w:r>
      <w:r>
        <w:fldChar w:fldCharType="begin"/>
      </w:r>
      <w:r>
        <w:instrText xml:space="preserve"> PAGEREF _Toc173502092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"_Toc173502093" </w:instrText>
      </w:r>
      <w:r>
        <w:fldChar w:fldCharType="separate"/>
      </w:r>
      <w:r>
        <w:rPr>
          <w:rStyle w:val="32"/>
        </w:rPr>
        <w:t xml:space="preserve">5 </w:t>
      </w:r>
      <w:r>
        <w:rPr>
          <w:rStyle w:val="32"/>
          <w:rFonts w:hint="eastAsia" w:ascii="Times New Roman"/>
        </w:rPr>
        <w:t xml:space="preserve"> 防治对象</w:t>
      </w:r>
      <w:r>
        <w:tab/>
      </w:r>
      <w:r>
        <w:fldChar w:fldCharType="begin"/>
      </w:r>
      <w:r>
        <w:instrText xml:space="preserve"> PAGEREF _Toc173502093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"_Toc173502094" </w:instrText>
      </w:r>
      <w:r>
        <w:fldChar w:fldCharType="separate"/>
      </w:r>
      <w:r>
        <w:rPr>
          <w:rStyle w:val="32"/>
        </w:rPr>
        <w:t xml:space="preserve">6 </w:t>
      </w:r>
      <w:r>
        <w:rPr>
          <w:rStyle w:val="32"/>
          <w:rFonts w:hint="eastAsia" w:ascii="Times New Roman"/>
        </w:rPr>
        <w:t xml:space="preserve"> 绿色防控</w:t>
      </w:r>
      <w:r>
        <w:tab/>
      </w:r>
      <w:r>
        <w:fldChar w:fldCharType="begin"/>
      </w:r>
      <w:r>
        <w:instrText xml:space="preserve"> PAGEREF _Toc173502094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"_Toc173502095" </w:instrText>
      </w:r>
      <w:r>
        <w:fldChar w:fldCharType="separate"/>
      </w:r>
      <w:r>
        <w:rPr>
          <w:rStyle w:val="32"/>
        </w:rPr>
        <w:t xml:space="preserve">7 </w:t>
      </w:r>
      <w:r>
        <w:rPr>
          <w:rStyle w:val="32"/>
          <w:rFonts w:hint="eastAsia" w:ascii="Times New Roman"/>
        </w:rPr>
        <w:t xml:space="preserve"> 生产档案</w:t>
      </w:r>
      <w:r>
        <w:tab/>
      </w:r>
      <w:r>
        <w:fldChar w:fldCharType="begin"/>
      </w:r>
      <w:r>
        <w:instrText xml:space="preserve"> PAGEREF _Toc173502095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"_Toc173502096" </w:instrText>
      </w:r>
      <w:r>
        <w:fldChar w:fldCharType="separate"/>
      </w:r>
      <w:r>
        <w:rPr>
          <w:rStyle w:val="32"/>
          <w:rFonts w:hint="eastAsia"/>
        </w:rPr>
        <w:t>附录A（资料性）</w:t>
      </w:r>
      <w:r>
        <w:rPr>
          <w:rStyle w:val="32"/>
        </w:rPr>
        <w:t xml:space="preserve">  </w:t>
      </w:r>
      <w:r>
        <w:rPr>
          <w:rStyle w:val="32"/>
          <w:rFonts w:hint="eastAsia"/>
        </w:rPr>
        <w:t>设施甜瓜主要病虫害绿色防治药剂及使用方法</w:t>
      </w:r>
      <w:r>
        <w:tab/>
      </w:r>
      <w:r>
        <w:fldChar w:fldCharType="begin"/>
      </w:r>
      <w:r>
        <w:instrText xml:space="preserve"> PAGEREF _Toc173502096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p>
    <w:p>
      <w:pPr>
        <w:pStyle w:val="91"/>
        <w:spacing w:after="468"/>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bookmarkStart w:id="54" w:name="_GoBack"/>
      <w:bookmarkEnd w:id="54"/>
    </w:p>
    <w:bookmarkEnd w:id="21"/>
    <w:p>
      <w:pPr>
        <w:pStyle w:val="89"/>
        <w:spacing w:after="468"/>
      </w:pPr>
      <w:bookmarkStart w:id="22" w:name="_Toc173502088"/>
      <w:bookmarkStart w:id="23" w:name="BookMark2"/>
      <w:r>
        <w:rPr>
          <w:spacing w:val="320"/>
        </w:rPr>
        <w:t>前</w:t>
      </w:r>
      <w: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本文件按照GB/T 1.1—2020 《标准化工作导则 第1部分：标准化文件的结构和起草规则》的规定起草。</w:t>
      </w:r>
    </w:p>
    <w:p>
      <w:pPr>
        <w:pStyle w:val="56"/>
        <w:ind w:firstLine="420"/>
      </w:pPr>
      <w:r>
        <w:rPr>
          <w:rFonts w:hint="eastAsia"/>
        </w:rPr>
        <w:t>本文件代替DB14/T 1223—2016《保护地甜瓜病虫害绿色防控技术规程》，与DB14/T 1223—2016相比，除结构调整和编辑性改动外，主要技术变化如下：</w:t>
      </w:r>
    </w:p>
    <w:p>
      <w:pPr>
        <w:pStyle w:val="56"/>
        <w:ind w:firstLine="420"/>
      </w:pPr>
      <w:r>
        <w:rPr>
          <w:rFonts w:hint="eastAsia"/>
        </w:rPr>
        <w:t>——更改了“术语和定义”中的内容（见3）</w:t>
      </w:r>
    </w:p>
    <w:p>
      <w:pPr>
        <w:pStyle w:val="56"/>
        <w:ind w:firstLine="420"/>
      </w:pPr>
      <w:r>
        <w:rPr>
          <w:rFonts w:hint="eastAsia"/>
        </w:rPr>
        <w:t>——将“防治原则和防治对象”和“化学防治注意事项”更改为“防治要求”和“防治对象”，并更改了相应内容（见4和5）</w:t>
      </w:r>
    </w:p>
    <w:p>
      <w:pPr>
        <w:pStyle w:val="56"/>
        <w:ind w:firstLine="420"/>
      </w:pPr>
      <w:r>
        <w:rPr>
          <w:rFonts w:hint="eastAsia"/>
        </w:rPr>
        <w:t>——更改了“绿色防控”中的内容（见6）</w:t>
      </w:r>
    </w:p>
    <w:p>
      <w:pPr>
        <w:pStyle w:val="56"/>
        <w:ind w:firstLine="420"/>
      </w:pPr>
      <w:r>
        <w:rPr>
          <w:rFonts w:hint="eastAsia"/>
        </w:rPr>
        <w:t>——增加了“生产档案”（见7）</w:t>
      </w:r>
    </w:p>
    <w:p>
      <w:pPr>
        <w:pStyle w:val="56"/>
        <w:ind w:firstLine="420"/>
      </w:pPr>
      <w:r>
        <w:rPr>
          <w:rFonts w:hint="eastAsia"/>
        </w:rPr>
        <w:t>本文件由山西省农业农村厅提出、组织实施和监督检查。</w:t>
      </w:r>
    </w:p>
    <w:p>
      <w:pPr>
        <w:pStyle w:val="56"/>
        <w:ind w:firstLine="420"/>
      </w:pPr>
      <w:r>
        <w:rPr>
          <w:rFonts w:hint="eastAsia"/>
        </w:rPr>
        <w:t>本文件由山西省市场监督管理局对标准的组织实施情况进行监督检查。</w:t>
      </w:r>
    </w:p>
    <w:p>
      <w:pPr>
        <w:pStyle w:val="56"/>
        <w:ind w:firstLine="420"/>
      </w:pPr>
      <w:r>
        <w:rPr>
          <w:rFonts w:hint="eastAsia"/>
        </w:rPr>
        <w:t>本文件由山西省农业标准化技术委员会（SXS/TC 19）归口。</w:t>
      </w:r>
    </w:p>
    <w:p>
      <w:pPr>
        <w:pStyle w:val="56"/>
        <w:ind w:firstLine="420"/>
      </w:pPr>
      <w:r>
        <w:rPr>
          <w:rFonts w:hint="eastAsia"/>
        </w:rPr>
        <w:t>本文件起草单位：山西省植物保护植物检疫中心。</w:t>
      </w:r>
    </w:p>
    <w:p>
      <w:pPr>
        <w:pStyle w:val="56"/>
        <w:ind w:firstLine="420"/>
      </w:pPr>
      <w:r>
        <w:rPr>
          <w:rFonts w:hint="eastAsia"/>
        </w:rPr>
        <w:t>本文件主要起草人：张东霞、靳彦卿、赵文梅、李霞、尹祥杰、李云飞、郑晓东、沈晓强、王丽英、令狐芮平、刘青、胡浩。</w:t>
      </w:r>
    </w:p>
    <w:p>
      <w:pPr>
        <w:pStyle w:val="56"/>
        <w:ind w:firstLine="420"/>
      </w:pPr>
      <w:r>
        <w:rPr>
          <w:rFonts w:hint="eastAsia"/>
        </w:rPr>
        <w:t>本文件及其所代替文件的历次版本发布情况为：</w:t>
      </w:r>
    </w:p>
    <w:p>
      <w:pPr>
        <w:pStyle w:val="56"/>
        <w:ind w:firstLine="420"/>
      </w:pPr>
      <w:r>
        <w:rPr>
          <w:rFonts w:hint="eastAsia"/>
        </w:rPr>
        <w:t>——2016年首次发布为DB14/T 1223—2016；</w:t>
      </w:r>
    </w:p>
    <w:p>
      <w:pPr>
        <w:pStyle w:val="56"/>
        <w:ind w:firstLine="420"/>
      </w:pPr>
      <w:r>
        <w:rPr>
          <w:rFonts w:hint="eastAsia"/>
        </w:rPr>
        <w:t>——本次为第一次修订。</w:t>
      </w:r>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3CCCDCF1C0774800B8B98FB9CE4B1FC4"/>
        </w:placeholder>
      </w:sdtPr>
      <w:sdtContent>
        <w:p>
          <w:pPr>
            <w:pStyle w:val="177"/>
            <w:spacing w:before="3" w:beforeLines="1" w:after="686" w:afterLines="220"/>
          </w:pPr>
          <w:bookmarkStart w:id="25" w:name="NEW_STAND_NAME"/>
          <w:r>
            <w:rPr>
              <w:rFonts w:hint="eastAsia"/>
            </w:rPr>
            <w:t>设施甜瓜主要病虫害绿色防控技术规程</w:t>
          </w:r>
          <w:r>
            <w:t>     </w:t>
          </w:r>
        </w:p>
      </w:sdtContent>
    </w:sdt>
    <w:bookmarkEnd w:id="25"/>
    <w:p>
      <w:pPr>
        <w:pStyle w:val="104"/>
        <w:spacing w:before="312" w:after="312"/>
        <w:rPr>
          <w:rFonts w:ascii="Times New Roman"/>
        </w:rPr>
      </w:pPr>
      <w:bookmarkStart w:id="26" w:name="_Toc26986530"/>
      <w:bookmarkStart w:id="27" w:name="_Toc24884218"/>
      <w:bookmarkStart w:id="28" w:name="_Toc26718930"/>
      <w:bookmarkStart w:id="29" w:name="_Toc17233325"/>
      <w:bookmarkStart w:id="30" w:name="_Toc26648465"/>
      <w:bookmarkStart w:id="31" w:name="_Toc173502089"/>
      <w:bookmarkStart w:id="32" w:name="_Toc17233333"/>
      <w:bookmarkStart w:id="33" w:name="_Toc26986771"/>
      <w:bookmarkStart w:id="34" w:name="_Toc24884211"/>
      <w:r>
        <w:rPr>
          <w:rFonts w:ascii="Times New Roman"/>
        </w:rPr>
        <w:t>范围</w:t>
      </w:r>
      <w:bookmarkEnd w:id="26"/>
      <w:bookmarkEnd w:id="27"/>
      <w:bookmarkEnd w:id="28"/>
      <w:bookmarkEnd w:id="29"/>
      <w:bookmarkEnd w:id="30"/>
      <w:bookmarkEnd w:id="31"/>
      <w:bookmarkEnd w:id="32"/>
      <w:bookmarkEnd w:id="33"/>
      <w:bookmarkEnd w:id="34"/>
    </w:p>
    <w:p>
      <w:pPr>
        <w:pStyle w:val="56"/>
        <w:ind w:firstLine="420"/>
        <w:rPr>
          <w:rFonts w:ascii="Times New Roman"/>
        </w:rPr>
      </w:pPr>
      <w:r>
        <w:rPr>
          <w:rFonts w:ascii="Times New Roman"/>
        </w:rPr>
        <w:t>本文件规定了设施甜瓜主要病虫害绿色防控的术语和定义、防治要求、防治对象、绿色防控及生产档案。</w:t>
      </w:r>
    </w:p>
    <w:p>
      <w:pPr>
        <w:pStyle w:val="56"/>
        <w:ind w:firstLine="420"/>
        <w:rPr>
          <w:rFonts w:ascii="Times New Roman"/>
        </w:rPr>
      </w:pPr>
      <w:r>
        <w:rPr>
          <w:rFonts w:ascii="Times New Roman"/>
        </w:rPr>
        <w:t>本文件适用于设施甜瓜生产中主要病虫害的绿色防控</w:t>
      </w:r>
      <w:r>
        <w:rPr>
          <w:rFonts w:hint="eastAsia" w:ascii="Times New Roman"/>
        </w:rPr>
        <w:t>。</w:t>
      </w:r>
    </w:p>
    <w:p>
      <w:pPr>
        <w:pStyle w:val="104"/>
        <w:spacing w:before="312" w:after="312"/>
        <w:rPr>
          <w:rFonts w:ascii="Times New Roman"/>
        </w:rPr>
      </w:pPr>
      <w:bookmarkStart w:id="35" w:name="_Toc24884219"/>
      <w:bookmarkStart w:id="36" w:name="_Toc26986772"/>
      <w:bookmarkStart w:id="37" w:name="_Toc173502090"/>
      <w:bookmarkStart w:id="38" w:name="_Toc24884212"/>
      <w:bookmarkStart w:id="39" w:name="_Toc26648466"/>
      <w:bookmarkStart w:id="40" w:name="_Toc17233334"/>
      <w:bookmarkStart w:id="41" w:name="_Toc26986531"/>
      <w:bookmarkStart w:id="42" w:name="_Toc26718931"/>
      <w:bookmarkStart w:id="43" w:name="_Toc17233326"/>
      <w:r>
        <w:rPr>
          <w:rFonts w:ascii="Times New Roman"/>
        </w:rPr>
        <w:t>规范性引用文件</w:t>
      </w:r>
      <w:bookmarkEnd w:id="35"/>
      <w:bookmarkEnd w:id="36"/>
      <w:bookmarkEnd w:id="37"/>
      <w:bookmarkEnd w:id="38"/>
      <w:bookmarkEnd w:id="39"/>
      <w:bookmarkEnd w:id="40"/>
      <w:bookmarkEnd w:id="41"/>
      <w:bookmarkEnd w:id="42"/>
      <w:bookmarkEnd w:id="43"/>
    </w:p>
    <w:p>
      <w:pPr>
        <w:pStyle w:val="230"/>
        <w:rPr>
          <w:rFonts w:ascii="Times New Roman"/>
        </w:rPr>
      </w:pPr>
      <w:sdt>
        <w:sdtPr>
          <w:rPr>
            <w:rFonts w:ascii="Times New Roman"/>
          </w:rPr>
          <w:id w:val="715848253"/>
          <w:placeholder>
            <w:docPart w:val="5549BBE0507747ED8B0D654EFD07F43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rPr>
          <w:rFonts w:ascii="Times New Roman"/>
        </w:rPr>
        <w:t xml:space="preserve"> </w:t>
      </w:r>
    </w:p>
    <w:p>
      <w:pPr>
        <w:pStyle w:val="230"/>
        <w:rPr>
          <w:rFonts w:ascii="Times New Roman"/>
        </w:rPr>
      </w:pPr>
      <w:r>
        <w:rPr>
          <w:rFonts w:ascii="Times New Roman"/>
        </w:rPr>
        <w:t>GB/T  8321</w:t>
      </w:r>
      <w:r>
        <w:rPr>
          <w:rFonts w:ascii="Times New Roman"/>
          <w:color w:val="000000"/>
        </w:rPr>
        <w:t>　</w:t>
      </w:r>
      <w:r>
        <w:rPr>
          <w:rFonts w:ascii="Times New Roman"/>
        </w:rPr>
        <w:t>（所有部分） 农药合理使用准则</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GB/T  16715.1</w:t>
      </w:r>
      <w:r>
        <w:rPr>
          <w:rFonts w:ascii="Times New Roman" w:hAnsi="Times New Roman"/>
          <w:color w:val="000000"/>
          <w:kern w:val="0"/>
          <w:szCs w:val="20"/>
        </w:rPr>
        <w:t>　</w:t>
      </w:r>
      <w:r>
        <w:rPr>
          <w:rFonts w:ascii="Times New Roman" w:hAnsi="Times New Roman"/>
          <w:kern w:val="0"/>
          <w:szCs w:val="20"/>
        </w:rPr>
        <w:t>瓜菜作物种子 第1部分：瓜类</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color w:val="000000"/>
          <w:kern w:val="0"/>
          <w:szCs w:val="20"/>
        </w:rPr>
      </w:pPr>
      <w:r>
        <w:rPr>
          <w:rFonts w:ascii="Times New Roman" w:hAnsi="Times New Roman"/>
          <w:color w:val="000000"/>
          <w:kern w:val="0"/>
          <w:szCs w:val="20"/>
        </w:rPr>
        <w:t>GB/T</w:t>
      </w:r>
      <w:r>
        <w:rPr>
          <w:rFonts w:ascii="Times New Roman" w:hAnsi="Times New Roman"/>
          <w:color w:val="000000"/>
          <w:kern w:val="0"/>
          <w:szCs w:val="20"/>
          <w:lang w:val="en"/>
        </w:rPr>
        <w:t xml:space="preserve">  </w:t>
      </w:r>
      <w:r>
        <w:rPr>
          <w:rFonts w:ascii="Times New Roman" w:hAnsi="Times New Roman"/>
          <w:color w:val="000000"/>
          <w:kern w:val="0"/>
          <w:szCs w:val="20"/>
        </w:rPr>
        <w:t>24689.4　植物保护机械　诱虫板</w:t>
      </w:r>
    </w:p>
    <w:p>
      <w:pPr>
        <w:widowControl/>
        <w:tabs>
          <w:tab w:val="center" w:pos="4201"/>
          <w:tab w:val="right" w:leader="dot" w:pos="9298"/>
        </w:tabs>
        <w:autoSpaceDE w:val="0"/>
        <w:autoSpaceDN w:val="0"/>
        <w:adjustRightInd/>
        <w:spacing w:line="240" w:lineRule="auto"/>
        <w:ind w:firstLine="420" w:firstLineChars="200"/>
        <w:rPr>
          <w:rFonts w:ascii="Times New Roman" w:hAnsi="Times New Roman"/>
          <w:kern w:val="0"/>
          <w:szCs w:val="20"/>
        </w:rPr>
      </w:pPr>
      <w:r>
        <w:rPr>
          <w:rFonts w:ascii="Times New Roman" w:hAnsi="Times New Roman"/>
          <w:kern w:val="0"/>
          <w:szCs w:val="20"/>
        </w:rPr>
        <w:t>NY/T  393</w:t>
      </w:r>
      <w:r>
        <w:rPr>
          <w:rFonts w:ascii="Times New Roman" w:hAnsi="Times New Roman"/>
          <w:color w:val="000000"/>
          <w:kern w:val="0"/>
          <w:szCs w:val="20"/>
        </w:rPr>
        <w:t>　</w:t>
      </w:r>
      <w:r>
        <w:rPr>
          <w:rFonts w:ascii="Times New Roman" w:hAnsi="Times New Roman"/>
          <w:kern w:val="0"/>
          <w:szCs w:val="20"/>
        </w:rPr>
        <w:t>绿色食品 农药使用准则</w:t>
      </w:r>
    </w:p>
    <w:p>
      <w:pPr>
        <w:pStyle w:val="104"/>
        <w:spacing w:before="312" w:after="312"/>
        <w:rPr>
          <w:rFonts w:ascii="Times New Roman"/>
        </w:rPr>
      </w:pPr>
      <w:bookmarkStart w:id="44" w:name="_Toc173502091"/>
      <w:r>
        <w:rPr>
          <w:rFonts w:ascii="Times New Roman"/>
          <w:szCs w:val="21"/>
        </w:rPr>
        <w:t>术语和定义</w:t>
      </w:r>
      <w:bookmarkEnd w:id="44"/>
    </w:p>
    <w:sdt>
      <w:sdtPr>
        <w:rPr>
          <w:rFonts w:ascii="Times New Roman"/>
        </w:rPr>
        <w:id w:val="-1909835108"/>
        <w:placeholder>
          <w:docPart w:val="6239372846D342FD934CA009771BB7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6"/>
            <w:ind w:firstLine="420"/>
            <w:rPr>
              <w:rFonts w:ascii="Times New Roman"/>
            </w:rPr>
          </w:pPr>
          <w:bookmarkStart w:id="45" w:name="_Toc26986532"/>
          <w:bookmarkEnd w:id="45"/>
          <w:r>
            <w:rPr>
              <w:rFonts w:ascii="Times New Roman"/>
            </w:rPr>
            <w:t>下列术语和定义适用于本文件。</w:t>
          </w:r>
        </w:p>
      </w:sdtContent>
    </w:sdt>
    <w:p>
      <w:pPr>
        <w:pStyle w:val="230"/>
        <w:rPr>
          <w:rFonts w:ascii="Times New Roman"/>
        </w:rPr>
      </w:pPr>
      <w:r>
        <w:rPr>
          <w:rFonts w:ascii="Times New Roman"/>
        </w:rPr>
        <w:t>下列术语和定义适用于本文件。</w:t>
      </w:r>
    </w:p>
    <w:p>
      <w:pPr>
        <w:pStyle w:val="105"/>
        <w:spacing w:before="156" w:after="156"/>
        <w:rPr>
          <w:rFonts w:ascii="Times New Roman"/>
        </w:rPr>
      </w:pPr>
    </w:p>
    <w:p>
      <w:pPr>
        <w:pStyle w:val="232"/>
        <w:numPr>
          <w:ilvl w:val="1"/>
          <w:numId w:val="0"/>
        </w:numPr>
        <w:rPr>
          <w:rFonts w:ascii="Times New Roman"/>
        </w:rPr>
      </w:pPr>
      <w:r>
        <w:rPr>
          <w:rFonts w:ascii="Times New Roman"/>
        </w:rPr>
        <w:t xml:space="preserve">   二次稀释法</w:t>
      </w:r>
    </w:p>
    <w:p>
      <w:pPr>
        <w:pStyle w:val="230"/>
        <w:ind w:firstLine="315" w:firstLineChars="150"/>
        <w:rPr>
          <w:rFonts w:ascii="Times New Roman"/>
        </w:rPr>
      </w:pPr>
      <w:r>
        <w:rPr>
          <w:rFonts w:ascii="Times New Roman"/>
        </w:rPr>
        <w:t>先用少量水或稀释载体将农药制剂稀释成母液或母粉，然后再稀释到所需浓度。</w:t>
      </w:r>
    </w:p>
    <w:p>
      <w:pPr>
        <w:pStyle w:val="105"/>
        <w:spacing w:before="156" w:after="156"/>
        <w:rPr>
          <w:rFonts w:ascii="Times New Roman"/>
        </w:rPr>
      </w:pPr>
    </w:p>
    <w:p>
      <w:pPr>
        <w:pStyle w:val="232"/>
        <w:numPr>
          <w:ilvl w:val="1"/>
          <w:numId w:val="0"/>
        </w:numPr>
        <w:rPr>
          <w:rFonts w:ascii="Times New Roman"/>
        </w:rPr>
      </w:pPr>
      <w:r>
        <w:rPr>
          <w:rFonts w:ascii="Times New Roman"/>
        </w:rPr>
        <w:t xml:space="preserve">    绿色防控</w:t>
      </w:r>
    </w:p>
    <w:p>
      <w:pPr>
        <w:pStyle w:val="56"/>
        <w:ind w:firstLine="420"/>
        <w:rPr>
          <w:rFonts w:ascii="Times New Roman"/>
        </w:rPr>
      </w:pPr>
      <w:r>
        <w:rPr>
          <w:rFonts w:ascii="Times New Roman"/>
        </w:rPr>
        <w:t>以确保农业生产、农产品质量和农业生态环境安全为目标，以减少化学农药使用为目的，优先采取生态控制、生物防治和物理防治、科学用药等环境友好型技术措施控制农作物病虫危害的行为。</w:t>
      </w:r>
    </w:p>
    <w:p>
      <w:pPr>
        <w:pStyle w:val="104"/>
        <w:spacing w:before="312" w:after="312"/>
        <w:rPr>
          <w:rFonts w:ascii="Times New Roman"/>
        </w:rPr>
      </w:pPr>
      <w:bookmarkStart w:id="46" w:name="_Toc173502092"/>
      <w:r>
        <w:rPr>
          <w:rFonts w:ascii="Times New Roman"/>
        </w:rPr>
        <w:t>防治要求</w:t>
      </w:r>
      <w:bookmarkEnd w:id="46"/>
    </w:p>
    <w:p>
      <w:pPr>
        <w:pStyle w:val="105"/>
        <w:spacing w:before="156" w:after="156"/>
        <w:rPr>
          <w:rFonts w:ascii="Times New Roman" w:eastAsia="宋体"/>
        </w:rPr>
      </w:pPr>
      <w:r>
        <w:rPr>
          <w:rFonts w:ascii="Times New Roman" w:eastAsia="宋体"/>
        </w:rPr>
        <w:t>贯彻“预防为主，综合防治”的植保方针，树立“公共植保、绿色植保”理念。</w:t>
      </w:r>
    </w:p>
    <w:p>
      <w:pPr>
        <w:pStyle w:val="105"/>
        <w:spacing w:before="156" w:after="156"/>
        <w:rPr>
          <w:rFonts w:ascii="Times New Roman" w:eastAsia="宋体"/>
        </w:rPr>
      </w:pPr>
      <w:r>
        <w:rPr>
          <w:rFonts w:ascii="Times New Roman" w:eastAsia="宋体"/>
        </w:rPr>
        <w:t>针对设施甜瓜不同生育期主要病虫发生特点，有针对性采取以农业、生物防控为基础，理化诱控为核心，科学用药为辅助的措施，实现“减药控害，提质增效”目标，保障甜瓜产量、品质及生态环境安全。</w:t>
      </w:r>
    </w:p>
    <w:p>
      <w:pPr>
        <w:pStyle w:val="105"/>
        <w:spacing w:before="156" w:after="156"/>
        <w:rPr>
          <w:rFonts w:ascii="Times New Roman" w:eastAsia="宋体"/>
        </w:rPr>
      </w:pPr>
      <w:r>
        <w:rPr>
          <w:rFonts w:ascii="Times New Roman" w:eastAsia="宋体"/>
        </w:rPr>
        <w:t>化学防治应按照GB/T 8321（所有部分）的规定执行，不得使用国家明令禁止的高毒、高残留农药；慎用对甜瓜敏感，容易产生药害的植物生长调节剂或化学农药，推荐农药使用时期、使用方法、使用浓度参见附录A。绿色、有机甜瓜使用农药应按照NY/T 393规定执行。</w:t>
      </w:r>
    </w:p>
    <w:p>
      <w:pPr>
        <w:pStyle w:val="104"/>
        <w:spacing w:before="312" w:after="312"/>
        <w:rPr>
          <w:rFonts w:ascii="Times New Roman"/>
        </w:rPr>
      </w:pPr>
      <w:bookmarkStart w:id="47" w:name="_Toc173502093"/>
      <w:r>
        <w:rPr>
          <w:rFonts w:ascii="Times New Roman"/>
        </w:rPr>
        <w:t>防治对象</w:t>
      </w:r>
      <w:bookmarkEnd w:id="47"/>
    </w:p>
    <w:p>
      <w:pPr>
        <w:pStyle w:val="56"/>
        <w:ind w:firstLine="420"/>
        <w:rPr>
          <w:rFonts w:ascii="Times New Roman"/>
        </w:rPr>
      </w:pPr>
      <w:r>
        <w:rPr>
          <w:rFonts w:ascii="Times New Roman"/>
        </w:rPr>
        <w:t>猝倒病、根腐病、霜霉病、灰霉病、枯萎病、白粉病、炭疽病、细菌性角斑病、蚜虫、粉虱、斑潜蝇。</w:t>
      </w:r>
    </w:p>
    <w:p>
      <w:pPr>
        <w:pStyle w:val="104"/>
        <w:spacing w:before="312" w:after="312"/>
        <w:rPr>
          <w:rFonts w:ascii="Times New Roman"/>
        </w:rPr>
      </w:pPr>
      <w:bookmarkStart w:id="48" w:name="_Toc173502094"/>
      <w:r>
        <w:rPr>
          <w:rFonts w:ascii="Times New Roman"/>
        </w:rPr>
        <w:t>绿色防控</w:t>
      </w:r>
      <w:bookmarkEnd w:id="48"/>
    </w:p>
    <w:p>
      <w:pPr>
        <w:pStyle w:val="105"/>
        <w:spacing w:before="156" w:after="156"/>
        <w:rPr>
          <w:rFonts w:ascii="Times New Roman"/>
        </w:rPr>
      </w:pPr>
      <w:r>
        <w:rPr>
          <w:rFonts w:ascii="Times New Roman"/>
        </w:rPr>
        <w:t>育苗期</w:t>
      </w:r>
    </w:p>
    <w:p>
      <w:pPr>
        <w:pStyle w:val="65"/>
        <w:spacing w:before="156" w:after="156"/>
        <w:rPr>
          <w:rFonts w:ascii="Times New Roman"/>
        </w:rPr>
      </w:pPr>
      <w:r>
        <w:rPr>
          <w:rFonts w:ascii="Times New Roman"/>
        </w:rPr>
        <w:t>品种选择</w:t>
      </w:r>
    </w:p>
    <w:p>
      <w:pPr>
        <w:pStyle w:val="230"/>
        <w:rPr>
          <w:rFonts w:ascii="Times New Roman"/>
        </w:rPr>
      </w:pPr>
      <w:r>
        <w:rPr>
          <w:rFonts w:ascii="Times New Roman"/>
        </w:rPr>
        <w:t>选择抗病性强、高产稳产、耐贮耐运的优良品种，种子质量符合GB16715.1规定。</w:t>
      </w:r>
    </w:p>
    <w:p>
      <w:pPr>
        <w:pStyle w:val="65"/>
        <w:spacing w:before="156" w:after="156"/>
        <w:rPr>
          <w:rFonts w:ascii="Times New Roman"/>
        </w:rPr>
      </w:pPr>
      <w:r>
        <w:rPr>
          <w:rFonts w:ascii="Times New Roman"/>
        </w:rPr>
        <w:t>种子处理</w:t>
      </w:r>
    </w:p>
    <w:p>
      <w:pPr>
        <w:pStyle w:val="230"/>
        <w:rPr>
          <w:rFonts w:ascii="Times New Roman"/>
        </w:rPr>
      </w:pPr>
      <w:r>
        <w:rPr>
          <w:rFonts w:ascii="Times New Roman"/>
        </w:rPr>
        <w:t>把55</w:t>
      </w:r>
      <w:r>
        <w:rPr>
          <w:rFonts w:hint="eastAsia" w:hAnsi="宋体" w:cs="宋体"/>
        </w:rPr>
        <w:t>℃</w:t>
      </w:r>
      <w:r>
        <w:rPr>
          <w:rFonts w:ascii="Times New Roman"/>
        </w:rPr>
        <w:t>~ 60</w:t>
      </w:r>
      <w:r>
        <w:rPr>
          <w:rFonts w:hint="eastAsia" w:hAnsi="宋体" w:cs="宋体"/>
        </w:rPr>
        <w:t>℃</w:t>
      </w:r>
      <w:r>
        <w:rPr>
          <w:rFonts w:ascii="Times New Roman"/>
        </w:rPr>
        <w:t>的热水缓缓倒入盛种子的容器中不断搅拌，直到水温降至30</w:t>
      </w:r>
      <w:r>
        <w:rPr>
          <w:rFonts w:hint="eastAsia" w:hAnsi="宋体" w:cs="宋体"/>
        </w:rPr>
        <w:t>℃</w:t>
      </w:r>
      <w:r>
        <w:rPr>
          <w:rFonts w:ascii="Times New Roman"/>
        </w:rPr>
        <w:t>，停止搅拌，然后洗净捞出，沥水后催芽。</w:t>
      </w:r>
    </w:p>
    <w:p>
      <w:pPr>
        <w:pStyle w:val="65"/>
        <w:spacing w:before="156" w:after="156"/>
        <w:rPr>
          <w:rFonts w:ascii="Times New Roman"/>
        </w:rPr>
      </w:pPr>
      <w:r>
        <w:rPr>
          <w:rFonts w:ascii="Times New Roman"/>
        </w:rPr>
        <w:t>轮作倒茬</w:t>
      </w:r>
    </w:p>
    <w:p>
      <w:pPr>
        <w:ind w:firstLine="420" w:firstLineChars="200"/>
        <w:rPr>
          <w:rFonts w:ascii="Times New Roman" w:hAnsi="Times New Roman"/>
          <w:kern w:val="0"/>
          <w:szCs w:val="20"/>
        </w:rPr>
      </w:pPr>
      <w:r>
        <w:rPr>
          <w:rFonts w:ascii="Times New Roman" w:hAnsi="Times New Roman"/>
          <w:kern w:val="0"/>
          <w:szCs w:val="20"/>
        </w:rPr>
        <w:t>甜瓜忌连作，忌与其他葫芦科、茄科类作物接茬种植。优先选择叶菜类、葱蒜类作物与甜瓜轮作。</w:t>
      </w:r>
    </w:p>
    <w:p>
      <w:pPr>
        <w:pStyle w:val="65"/>
        <w:spacing w:before="156" w:after="156"/>
        <w:rPr>
          <w:rFonts w:ascii="Times New Roman"/>
        </w:rPr>
      </w:pPr>
      <w:r>
        <w:rPr>
          <w:rFonts w:ascii="Times New Roman"/>
        </w:rPr>
        <w:t>苗床防治</w:t>
      </w:r>
    </w:p>
    <w:p>
      <w:pPr>
        <w:spacing w:line="240" w:lineRule="auto"/>
        <w:ind w:firstLine="420" w:firstLineChars="200"/>
        <w:rPr>
          <w:rFonts w:ascii="Times New Roman" w:hAnsi="Times New Roman"/>
          <w:kern w:val="0"/>
          <w:szCs w:val="20"/>
        </w:rPr>
      </w:pPr>
      <w:r>
        <w:rPr>
          <w:rFonts w:ascii="Times New Roman" w:hAnsi="Times New Roman"/>
          <w:kern w:val="0"/>
          <w:szCs w:val="20"/>
        </w:rPr>
        <w:t>每1</w:t>
      </w:r>
      <w:r>
        <w:rPr>
          <w:rFonts w:hint="eastAsia" w:ascii="Times New Roman" w:hAnsi="Times New Roman"/>
          <w:kern w:val="0"/>
          <w:szCs w:val="20"/>
        </w:rPr>
        <w:t xml:space="preserve"> </w:t>
      </w:r>
      <w:r>
        <w:rPr>
          <w:rFonts w:ascii="Times New Roman" w:hAnsi="Times New Roman"/>
          <w:kern w:val="0"/>
          <w:szCs w:val="20"/>
        </w:rPr>
        <w:t>m</w:t>
      </w:r>
      <w:r>
        <w:rPr>
          <w:rFonts w:ascii="Times New Roman" w:hAnsi="Times New Roman"/>
          <w:kern w:val="0"/>
          <w:szCs w:val="20"/>
          <w:vertAlign w:val="superscript"/>
        </w:rPr>
        <w:t>2</w:t>
      </w:r>
      <w:r>
        <w:rPr>
          <w:rFonts w:ascii="Times New Roman" w:hAnsi="Times New Roman"/>
          <w:kern w:val="0"/>
          <w:szCs w:val="20"/>
        </w:rPr>
        <w:t>可选用15%噁霉灵水剂5</w:t>
      </w:r>
      <w:r>
        <w:rPr>
          <w:rFonts w:hint="eastAsia" w:ascii="Times New Roman" w:hAnsi="Times New Roman"/>
          <w:kern w:val="0"/>
          <w:szCs w:val="20"/>
        </w:rPr>
        <w:t xml:space="preserve"> </w:t>
      </w:r>
      <w:r>
        <w:rPr>
          <w:rFonts w:ascii="Times New Roman" w:hAnsi="Times New Roman"/>
          <w:kern w:val="0"/>
          <w:szCs w:val="20"/>
        </w:rPr>
        <w:t>mL~7</w:t>
      </w:r>
      <w:r>
        <w:rPr>
          <w:rFonts w:hint="eastAsia" w:ascii="Times New Roman" w:hAnsi="Times New Roman"/>
          <w:kern w:val="0"/>
          <w:szCs w:val="20"/>
        </w:rPr>
        <w:t xml:space="preserve"> </w:t>
      </w:r>
      <w:r>
        <w:rPr>
          <w:rFonts w:ascii="Times New Roman" w:hAnsi="Times New Roman"/>
          <w:kern w:val="0"/>
          <w:szCs w:val="20"/>
        </w:rPr>
        <w:t>mL，于猝倒病发生初期进行苗床喷淋，连用2次，施药间隔5</w:t>
      </w:r>
      <w:r>
        <w:rPr>
          <w:rFonts w:hint="eastAsia" w:ascii="Times New Roman" w:hAnsi="Times New Roman"/>
          <w:kern w:val="0"/>
          <w:szCs w:val="20"/>
        </w:rPr>
        <w:t xml:space="preserve"> </w:t>
      </w:r>
      <w:r>
        <w:rPr>
          <w:rFonts w:ascii="Times New Roman" w:hAnsi="Times New Roman"/>
          <w:kern w:val="0"/>
          <w:szCs w:val="20"/>
        </w:rPr>
        <w:t>d。</w:t>
      </w:r>
    </w:p>
    <w:p>
      <w:pPr>
        <w:pStyle w:val="65"/>
        <w:spacing w:before="156" w:after="156"/>
        <w:rPr>
          <w:rFonts w:ascii="Times New Roman"/>
        </w:rPr>
      </w:pPr>
      <w:r>
        <w:rPr>
          <w:rFonts w:ascii="Times New Roman"/>
        </w:rPr>
        <w:t>追肥促壮</w:t>
      </w:r>
    </w:p>
    <w:p>
      <w:pPr>
        <w:ind w:firstLine="420" w:firstLineChars="200"/>
        <w:rPr>
          <w:rFonts w:ascii="Times New Roman" w:hAnsi="Times New Roman"/>
          <w:kern w:val="0"/>
          <w:szCs w:val="20"/>
        </w:rPr>
      </w:pPr>
      <w:r>
        <w:rPr>
          <w:rFonts w:ascii="Times New Roman" w:hAnsi="Times New Roman"/>
          <w:kern w:val="0"/>
          <w:szCs w:val="20"/>
        </w:rPr>
        <w:t>喷洒2次0.2%磷酸二氢钾和0.5%尿素溶液，增强幼苗抗逆、抗病力。</w:t>
      </w:r>
    </w:p>
    <w:p>
      <w:pPr>
        <w:pStyle w:val="105"/>
        <w:spacing w:before="156" w:after="156"/>
        <w:rPr>
          <w:rFonts w:ascii="Times New Roman"/>
        </w:rPr>
      </w:pPr>
      <w:r>
        <w:rPr>
          <w:rFonts w:ascii="Times New Roman"/>
        </w:rPr>
        <w:t>定植期</w:t>
      </w:r>
    </w:p>
    <w:p>
      <w:pPr>
        <w:pStyle w:val="65"/>
        <w:spacing w:before="156" w:after="156"/>
        <w:rPr>
          <w:rFonts w:ascii="Times New Roman"/>
        </w:rPr>
      </w:pPr>
      <w:r>
        <w:rPr>
          <w:rFonts w:ascii="Times New Roman"/>
        </w:rPr>
        <w:t>棚室消毒</w:t>
      </w:r>
    </w:p>
    <w:p>
      <w:pPr>
        <w:pStyle w:val="230"/>
        <w:rPr>
          <w:rFonts w:ascii="Times New Roman"/>
        </w:rPr>
      </w:pPr>
      <w:r>
        <w:rPr>
          <w:rFonts w:ascii="Times New Roman"/>
        </w:rPr>
        <w:t>定植前，每667</w:t>
      </w:r>
      <w:r>
        <w:rPr>
          <w:rFonts w:hint="eastAsia" w:ascii="Times New Roman"/>
        </w:rPr>
        <w:t xml:space="preserve"> </w:t>
      </w:r>
      <w:r>
        <w:rPr>
          <w:rFonts w:ascii="Times New Roman"/>
        </w:rPr>
        <w:t>m</w:t>
      </w:r>
      <w:r>
        <w:rPr>
          <w:rFonts w:ascii="Times New Roman"/>
          <w:vertAlign w:val="superscript"/>
        </w:rPr>
        <w:t>2</w:t>
      </w:r>
      <w:r>
        <w:rPr>
          <w:rFonts w:ascii="Times New Roman"/>
        </w:rPr>
        <w:t>用硫磺3</w:t>
      </w:r>
      <w:r>
        <w:rPr>
          <w:rFonts w:hint="eastAsia" w:ascii="Times New Roman"/>
        </w:rPr>
        <w:t xml:space="preserve"> </w:t>
      </w:r>
      <w:r>
        <w:rPr>
          <w:rFonts w:ascii="Times New Roman"/>
        </w:rPr>
        <w:t>kg加6</w:t>
      </w:r>
      <w:r>
        <w:rPr>
          <w:rFonts w:hint="eastAsia" w:ascii="Times New Roman"/>
        </w:rPr>
        <w:t xml:space="preserve"> </w:t>
      </w:r>
      <w:r>
        <w:rPr>
          <w:rFonts w:ascii="Times New Roman"/>
        </w:rPr>
        <w:t>kg碎木屑，分堆点燃，密闭棚室熏蒸一晚，之后打开棚膜放风3</w:t>
      </w:r>
      <w:r>
        <w:rPr>
          <w:rFonts w:hint="eastAsia" w:ascii="Times New Roman"/>
        </w:rPr>
        <w:t xml:space="preserve"> </w:t>
      </w:r>
      <w:r>
        <w:rPr>
          <w:rFonts w:ascii="Times New Roman"/>
        </w:rPr>
        <w:t>d~5</w:t>
      </w:r>
      <w:r>
        <w:rPr>
          <w:rFonts w:hint="eastAsia" w:ascii="Times New Roman"/>
        </w:rPr>
        <w:t xml:space="preserve"> </w:t>
      </w:r>
      <w:r>
        <w:rPr>
          <w:rFonts w:ascii="Times New Roman"/>
        </w:rPr>
        <w:t>d；或用45%百菌清烟剂200</w:t>
      </w:r>
      <w:r>
        <w:rPr>
          <w:rFonts w:hint="eastAsia" w:ascii="Times New Roman"/>
        </w:rPr>
        <w:t xml:space="preserve"> </w:t>
      </w:r>
      <w:r>
        <w:rPr>
          <w:rFonts w:ascii="Times New Roman"/>
        </w:rPr>
        <w:t>g~250</w:t>
      </w:r>
      <w:r>
        <w:rPr>
          <w:rFonts w:hint="eastAsia" w:ascii="Times New Roman"/>
        </w:rPr>
        <w:t xml:space="preserve"> </w:t>
      </w:r>
      <w:r>
        <w:rPr>
          <w:rFonts w:ascii="Times New Roman"/>
        </w:rPr>
        <w:t>g，均匀放置在棚室内，分别点燃，随即密闭烟熏2</w:t>
      </w:r>
      <w:r>
        <w:rPr>
          <w:rFonts w:hint="eastAsia" w:ascii="Times New Roman"/>
        </w:rPr>
        <w:t xml:space="preserve"> </w:t>
      </w:r>
      <w:r>
        <w:rPr>
          <w:rFonts w:ascii="Times New Roman"/>
        </w:rPr>
        <w:t>h~3</w:t>
      </w:r>
      <w:r>
        <w:rPr>
          <w:rFonts w:hint="eastAsia" w:ascii="Times New Roman"/>
        </w:rPr>
        <w:t xml:space="preserve"> </w:t>
      </w:r>
      <w:r>
        <w:rPr>
          <w:rFonts w:ascii="Times New Roman"/>
        </w:rPr>
        <w:t>h。</w:t>
      </w:r>
    </w:p>
    <w:p>
      <w:pPr>
        <w:pStyle w:val="65"/>
        <w:spacing w:before="156" w:after="156"/>
        <w:rPr>
          <w:rFonts w:ascii="Times New Roman" w:eastAsia="宋体"/>
          <w:bCs/>
          <w:kern w:val="2"/>
          <w:szCs w:val="24"/>
        </w:rPr>
      </w:pPr>
      <w:r>
        <w:rPr>
          <w:rFonts w:ascii="Times New Roman"/>
        </w:rPr>
        <w:t>移苗定植</w:t>
      </w:r>
    </w:p>
    <w:p>
      <w:pPr>
        <w:pStyle w:val="235"/>
        <w:numPr>
          <w:ilvl w:val="2"/>
          <w:numId w:val="0"/>
        </w:numPr>
        <w:spacing w:before="156" w:beforeLines="0" w:after="156" w:afterLines="0"/>
        <w:ind w:firstLine="420" w:firstLineChars="200"/>
        <w:rPr>
          <w:rFonts w:ascii="Times New Roman"/>
        </w:rPr>
      </w:pPr>
      <w:r>
        <w:rPr>
          <w:rFonts w:ascii="Times New Roman" w:eastAsia="宋体"/>
          <w:bCs/>
          <w:kern w:val="2"/>
          <w:szCs w:val="24"/>
        </w:rPr>
        <w:t>移栽过程避免农事操作造成伤口，每667</w:t>
      </w:r>
      <w:r>
        <w:rPr>
          <w:rFonts w:hint="eastAsia" w:ascii="Times New Roman" w:eastAsia="宋体"/>
          <w:bCs/>
          <w:kern w:val="2"/>
          <w:szCs w:val="24"/>
        </w:rPr>
        <w:t xml:space="preserve"> </w:t>
      </w:r>
      <w:r>
        <w:rPr>
          <w:rFonts w:ascii="Times New Roman" w:eastAsia="宋体"/>
          <w:bCs/>
          <w:kern w:val="2"/>
          <w:szCs w:val="24"/>
        </w:rPr>
        <w:t>m</w:t>
      </w:r>
      <w:r>
        <w:rPr>
          <w:rFonts w:ascii="Times New Roman" w:eastAsia="宋体"/>
          <w:bCs/>
          <w:kern w:val="2"/>
          <w:szCs w:val="24"/>
          <w:vertAlign w:val="superscript"/>
        </w:rPr>
        <w:t>2</w:t>
      </w:r>
      <w:r>
        <w:rPr>
          <w:rFonts w:ascii="Times New Roman" w:eastAsia="宋体"/>
          <w:bCs/>
          <w:kern w:val="2"/>
          <w:szCs w:val="24"/>
        </w:rPr>
        <w:t>栽2 000~2 200株甜瓜，减小株距增加行距，改善田间通风透光条件，减轻病虫害的发生。</w:t>
      </w:r>
    </w:p>
    <w:p>
      <w:pPr>
        <w:pStyle w:val="65"/>
        <w:spacing w:before="156" w:after="156"/>
        <w:rPr>
          <w:rFonts w:ascii="Times New Roman"/>
        </w:rPr>
      </w:pPr>
      <w:r>
        <w:rPr>
          <w:rFonts w:ascii="Times New Roman"/>
        </w:rPr>
        <w:t>防虫网阻隔</w:t>
      </w:r>
    </w:p>
    <w:p>
      <w:pPr>
        <w:pStyle w:val="235"/>
        <w:numPr>
          <w:ilvl w:val="2"/>
          <w:numId w:val="0"/>
        </w:numPr>
        <w:spacing w:before="156" w:beforeLines="0" w:after="156" w:afterLines="0"/>
        <w:ind w:firstLine="420" w:firstLineChars="200"/>
        <w:rPr>
          <w:rFonts w:ascii="Times New Roman" w:eastAsia="宋体"/>
          <w:szCs w:val="20"/>
        </w:rPr>
      </w:pPr>
      <w:r>
        <w:rPr>
          <w:rFonts w:ascii="Times New Roman" w:eastAsia="宋体"/>
          <w:szCs w:val="20"/>
        </w:rPr>
        <w:t>在大棚或温室通风口、进出口处挂设40目~60目防虫网，阻隔蚜虫、粉虱等小型害虫进入。</w:t>
      </w:r>
    </w:p>
    <w:p>
      <w:pPr>
        <w:pStyle w:val="65"/>
        <w:spacing w:before="156" w:after="156"/>
        <w:rPr>
          <w:rFonts w:ascii="Times New Roman"/>
        </w:rPr>
      </w:pPr>
      <w:r>
        <w:rPr>
          <w:rFonts w:ascii="Times New Roman"/>
        </w:rPr>
        <w:t>铺膜驱虫</w:t>
      </w:r>
    </w:p>
    <w:p>
      <w:pPr>
        <w:ind w:firstLine="630"/>
        <w:rPr>
          <w:rFonts w:ascii="Times New Roman" w:hAnsi="Times New Roman"/>
          <w:bCs/>
        </w:rPr>
      </w:pPr>
      <w:r>
        <w:rPr>
          <w:rFonts w:ascii="Times New Roman" w:hAnsi="Times New Roman"/>
          <w:bCs/>
        </w:rPr>
        <w:t>棚内悬挂银灰膜驱避蚜虫、</w:t>
      </w:r>
      <w:r>
        <w:rPr>
          <w:rFonts w:ascii="Times New Roman" w:hAnsi="Times New Roman"/>
          <w:kern w:val="0"/>
          <w:szCs w:val="20"/>
        </w:rPr>
        <w:t>粉虱</w:t>
      </w:r>
      <w:r>
        <w:rPr>
          <w:rFonts w:ascii="Times New Roman" w:hAnsi="Times New Roman"/>
          <w:bCs/>
        </w:rPr>
        <w:t>等害虫。</w:t>
      </w:r>
    </w:p>
    <w:p>
      <w:pPr>
        <w:pStyle w:val="65"/>
        <w:spacing w:before="156" w:after="156"/>
        <w:rPr>
          <w:rFonts w:ascii="Times New Roman"/>
        </w:rPr>
      </w:pPr>
      <w:r>
        <w:rPr>
          <w:rFonts w:ascii="Times New Roman"/>
        </w:rPr>
        <w:t>浇水灌溉</w:t>
      </w:r>
    </w:p>
    <w:p>
      <w:pPr>
        <w:pStyle w:val="230"/>
        <w:rPr>
          <w:rFonts w:ascii="Times New Roman"/>
        </w:rPr>
      </w:pPr>
      <w:r>
        <w:rPr>
          <w:rFonts w:ascii="Times New Roman"/>
          <w:bCs/>
        </w:rPr>
        <w:t>采用膜下滴灌，降低田间湿度，减少病害发生。</w:t>
      </w:r>
    </w:p>
    <w:p>
      <w:pPr>
        <w:pStyle w:val="65"/>
        <w:spacing w:before="156" w:after="156"/>
        <w:rPr>
          <w:rFonts w:ascii="Times New Roman"/>
        </w:rPr>
      </w:pPr>
      <w:r>
        <w:rPr>
          <w:rFonts w:ascii="Times New Roman"/>
        </w:rPr>
        <w:t>色板诱杀</w:t>
      </w:r>
    </w:p>
    <w:p>
      <w:pPr>
        <w:pStyle w:val="235"/>
        <w:numPr>
          <w:ilvl w:val="2"/>
          <w:numId w:val="0"/>
        </w:numPr>
        <w:spacing w:before="156" w:beforeLines="0" w:after="156" w:afterLines="0"/>
        <w:ind w:firstLine="420" w:firstLineChars="200"/>
        <w:rPr>
          <w:rFonts w:ascii="Times New Roman" w:eastAsia="宋体"/>
          <w:szCs w:val="20"/>
        </w:rPr>
      </w:pPr>
      <w:r>
        <w:rPr>
          <w:rFonts w:ascii="Times New Roman" w:eastAsia="宋体"/>
          <w:szCs w:val="20"/>
        </w:rPr>
        <w:t>每667 m</w:t>
      </w:r>
      <w:r>
        <w:rPr>
          <w:rFonts w:ascii="Times New Roman" w:eastAsia="宋体"/>
          <w:szCs w:val="20"/>
          <w:vertAlign w:val="superscript"/>
        </w:rPr>
        <w:t>2</w:t>
      </w:r>
      <w:r>
        <w:rPr>
          <w:rFonts w:ascii="Times New Roman" w:eastAsia="宋体"/>
          <w:szCs w:val="20"/>
        </w:rPr>
        <w:t>挂25</w:t>
      </w:r>
      <w:r>
        <w:rPr>
          <w:rFonts w:hint="eastAsia" w:ascii="Times New Roman" w:eastAsia="宋体"/>
          <w:szCs w:val="20"/>
        </w:rPr>
        <w:t xml:space="preserve"> </w:t>
      </w:r>
      <w:r>
        <w:rPr>
          <w:rFonts w:ascii="Times New Roman" w:eastAsia="宋体"/>
          <w:szCs w:val="20"/>
        </w:rPr>
        <w:t>cm×40</w:t>
      </w:r>
      <w:r>
        <w:rPr>
          <w:rFonts w:hint="eastAsia" w:ascii="Times New Roman" w:eastAsia="宋体"/>
          <w:szCs w:val="20"/>
        </w:rPr>
        <w:t xml:space="preserve"> </w:t>
      </w:r>
      <w:r>
        <w:rPr>
          <w:rFonts w:ascii="Times New Roman" w:eastAsia="宋体"/>
          <w:szCs w:val="20"/>
        </w:rPr>
        <w:t>cm的黄、蓝板20张~25张，诱杀蚜虫、粉虱、斑潜蝇等害虫，黄板悬挂高度高于甜瓜植株20</w:t>
      </w:r>
      <w:r>
        <w:rPr>
          <w:rFonts w:hint="eastAsia" w:ascii="Times New Roman" w:eastAsia="宋体"/>
          <w:szCs w:val="20"/>
        </w:rPr>
        <w:t xml:space="preserve"> </w:t>
      </w:r>
      <w:r>
        <w:rPr>
          <w:rFonts w:ascii="Times New Roman" w:eastAsia="宋体"/>
          <w:szCs w:val="20"/>
        </w:rPr>
        <w:t>cm，蓝板悬挂于甜瓜基部的近地表处，待板上粘满虫子后及时更换。色板使用按照GB/T 24689.4规定执行。</w:t>
      </w:r>
    </w:p>
    <w:p>
      <w:pPr>
        <w:pStyle w:val="65"/>
        <w:spacing w:before="156" w:after="156"/>
        <w:rPr>
          <w:rFonts w:ascii="Times New Roman"/>
        </w:rPr>
      </w:pPr>
      <w:r>
        <w:rPr>
          <w:rFonts w:ascii="Times New Roman"/>
        </w:rPr>
        <w:t>药剂防治</w:t>
      </w:r>
    </w:p>
    <w:p>
      <w:pPr>
        <w:pStyle w:val="56"/>
        <w:ind w:firstLine="420"/>
        <w:rPr>
          <w:rFonts w:ascii="Times New Roman"/>
        </w:rPr>
      </w:pPr>
      <w:r>
        <w:rPr>
          <w:rFonts w:ascii="Times New Roman"/>
        </w:rPr>
        <w:t>主要防治猝倒病、枯萎病、根腐病等，防治用药及方法见附录A。</w:t>
      </w:r>
    </w:p>
    <w:p>
      <w:pPr>
        <w:pStyle w:val="105"/>
        <w:spacing w:before="156" w:after="156"/>
        <w:rPr>
          <w:rFonts w:ascii="Times New Roman"/>
        </w:rPr>
      </w:pPr>
      <w:r>
        <w:rPr>
          <w:rFonts w:ascii="Times New Roman"/>
        </w:rPr>
        <w:t>伸蔓期</w:t>
      </w:r>
    </w:p>
    <w:p>
      <w:pPr>
        <w:pStyle w:val="65"/>
        <w:spacing w:before="156" w:after="156"/>
        <w:rPr>
          <w:rFonts w:ascii="Times New Roman"/>
        </w:rPr>
      </w:pPr>
      <w:r>
        <w:rPr>
          <w:rFonts w:ascii="Times New Roman"/>
        </w:rPr>
        <w:t>温湿度调控</w:t>
      </w:r>
    </w:p>
    <w:p>
      <w:pPr>
        <w:spacing w:line="240" w:lineRule="auto"/>
        <w:ind w:firstLine="420" w:firstLineChars="200"/>
        <w:rPr>
          <w:rFonts w:ascii="Times New Roman" w:hAnsi="Times New Roman"/>
          <w:kern w:val="0"/>
          <w:szCs w:val="20"/>
        </w:rPr>
      </w:pPr>
      <w:r>
        <w:rPr>
          <w:rFonts w:ascii="Times New Roman" w:hAnsi="Times New Roman"/>
          <w:kern w:val="0"/>
          <w:szCs w:val="20"/>
        </w:rPr>
        <w:t>缓苗后白天温度保持在25</w:t>
      </w:r>
      <w:r>
        <w:rPr>
          <w:rFonts w:hint="eastAsia" w:ascii="宋体" w:hAnsi="宋体" w:cs="宋体"/>
          <w:kern w:val="0"/>
          <w:szCs w:val="20"/>
        </w:rPr>
        <w:t>℃</w:t>
      </w:r>
      <w:r>
        <w:rPr>
          <w:rFonts w:ascii="Times New Roman" w:hAnsi="Times New Roman"/>
          <w:kern w:val="0"/>
          <w:szCs w:val="20"/>
        </w:rPr>
        <w:t>~30</w:t>
      </w:r>
      <w:r>
        <w:rPr>
          <w:rFonts w:hint="eastAsia" w:ascii="宋体" w:hAnsi="宋体" w:cs="宋体"/>
          <w:kern w:val="0"/>
          <w:szCs w:val="20"/>
        </w:rPr>
        <w:t>℃</w:t>
      </w:r>
      <w:r>
        <w:rPr>
          <w:rFonts w:ascii="Times New Roman" w:hAnsi="Times New Roman"/>
          <w:kern w:val="0"/>
          <w:szCs w:val="20"/>
        </w:rPr>
        <w:t>，夜间13</w:t>
      </w:r>
      <w:r>
        <w:rPr>
          <w:rFonts w:hint="eastAsia" w:ascii="宋体" w:hAnsi="宋体" w:cs="宋体"/>
          <w:kern w:val="0"/>
          <w:szCs w:val="20"/>
        </w:rPr>
        <w:t>℃</w:t>
      </w:r>
      <w:r>
        <w:rPr>
          <w:rFonts w:ascii="Times New Roman" w:hAnsi="Times New Roman"/>
          <w:kern w:val="0"/>
          <w:szCs w:val="20"/>
        </w:rPr>
        <w:t>~14</w:t>
      </w:r>
      <w:r>
        <w:rPr>
          <w:rFonts w:hint="eastAsia" w:ascii="宋体" w:hAnsi="宋体" w:cs="宋体"/>
          <w:kern w:val="0"/>
          <w:szCs w:val="20"/>
        </w:rPr>
        <w:t>℃</w:t>
      </w:r>
      <w:r>
        <w:rPr>
          <w:rFonts w:ascii="Times New Roman" w:hAnsi="Times New Roman"/>
          <w:kern w:val="0"/>
          <w:szCs w:val="20"/>
        </w:rPr>
        <w:t>。定植水浇透后，座瓜前不浇水，当棚内70%以上植株座瓜鸡蛋大小时浇膨瓜水，并追肥。</w:t>
      </w:r>
    </w:p>
    <w:p>
      <w:pPr>
        <w:pStyle w:val="65"/>
        <w:spacing w:before="156" w:after="156"/>
        <w:rPr>
          <w:rFonts w:ascii="Times New Roman"/>
        </w:rPr>
      </w:pPr>
      <w:r>
        <w:rPr>
          <w:rFonts w:ascii="Times New Roman"/>
        </w:rPr>
        <w:t>整枝压蔓</w:t>
      </w:r>
    </w:p>
    <w:p>
      <w:pPr>
        <w:ind w:firstLine="420"/>
        <w:rPr>
          <w:rFonts w:ascii="Times New Roman" w:hAnsi="Times New Roman"/>
          <w:kern w:val="0"/>
          <w:szCs w:val="20"/>
        </w:rPr>
      </w:pPr>
      <w:r>
        <w:rPr>
          <w:rFonts w:ascii="Times New Roman" w:hAnsi="Times New Roman"/>
          <w:kern w:val="0"/>
          <w:szCs w:val="20"/>
        </w:rPr>
        <w:t>及时修剪整理枝蔓，疏剪密弱枝，清除病株、病叶，消灭发病中心，减少病虫害传播。</w:t>
      </w:r>
    </w:p>
    <w:p>
      <w:pPr>
        <w:pStyle w:val="65"/>
        <w:spacing w:before="156" w:after="156"/>
        <w:rPr>
          <w:rFonts w:ascii="Times New Roman"/>
        </w:rPr>
      </w:pPr>
      <w:r>
        <w:rPr>
          <w:rFonts w:ascii="Times New Roman"/>
        </w:rPr>
        <w:t>化学防治</w:t>
      </w:r>
    </w:p>
    <w:p>
      <w:pPr>
        <w:spacing w:line="240" w:lineRule="auto"/>
        <w:ind w:firstLine="420"/>
        <w:rPr>
          <w:rFonts w:ascii="Times New Roman" w:hAnsi="Times New Roman"/>
          <w:kern w:val="0"/>
          <w:szCs w:val="20"/>
        </w:rPr>
      </w:pPr>
      <w:r>
        <w:rPr>
          <w:rFonts w:ascii="Times New Roman" w:hAnsi="Times New Roman"/>
          <w:kern w:val="0"/>
          <w:szCs w:val="20"/>
        </w:rPr>
        <w:t>主要防治灰霉病、霜霉病、蚜虫、粉虱，斑潜蝇等，防治用药及方法见附录A。在药剂组合中加入钙，防治裂瓜。</w:t>
      </w:r>
    </w:p>
    <w:p>
      <w:pPr>
        <w:pStyle w:val="105"/>
        <w:spacing w:before="156" w:after="156"/>
        <w:rPr>
          <w:rFonts w:ascii="Times New Roman"/>
        </w:rPr>
      </w:pPr>
      <w:r>
        <w:rPr>
          <w:rFonts w:ascii="Times New Roman"/>
        </w:rPr>
        <w:t>果实膨大期-成熟期</w:t>
      </w:r>
    </w:p>
    <w:p>
      <w:pPr>
        <w:spacing w:line="240" w:lineRule="auto"/>
        <w:ind w:firstLine="420"/>
        <w:rPr>
          <w:rFonts w:ascii="Times New Roman" w:hAnsi="Times New Roman"/>
          <w:kern w:val="0"/>
          <w:szCs w:val="20"/>
        </w:rPr>
      </w:pPr>
      <w:r>
        <w:rPr>
          <w:rFonts w:ascii="Times New Roman" w:hAnsi="Times New Roman"/>
          <w:kern w:val="0"/>
          <w:szCs w:val="20"/>
        </w:rPr>
        <w:t>主要防治炭疽病、白粉病、细菌性角斑病、蚜虫等病虫，防治用药及方法见附录A。注意农药安全间隔期，一般在甜瓜采收前10</w:t>
      </w:r>
      <w:r>
        <w:rPr>
          <w:rFonts w:hint="eastAsia" w:ascii="Times New Roman" w:hAnsi="Times New Roman"/>
          <w:kern w:val="0"/>
          <w:szCs w:val="20"/>
        </w:rPr>
        <w:t xml:space="preserve"> </w:t>
      </w:r>
      <w:r>
        <w:rPr>
          <w:rFonts w:ascii="Times New Roman" w:hAnsi="Times New Roman"/>
          <w:kern w:val="0"/>
          <w:szCs w:val="20"/>
        </w:rPr>
        <w:t>d不宜用药。</w:t>
      </w:r>
    </w:p>
    <w:p>
      <w:pPr>
        <w:pStyle w:val="105"/>
        <w:spacing w:before="156" w:after="156"/>
        <w:rPr>
          <w:rFonts w:ascii="Times New Roman"/>
        </w:rPr>
      </w:pPr>
      <w:r>
        <w:rPr>
          <w:rFonts w:ascii="Times New Roman"/>
        </w:rPr>
        <w:t>采收期</w:t>
      </w:r>
    </w:p>
    <w:p>
      <w:pPr>
        <w:pStyle w:val="232"/>
        <w:numPr>
          <w:ilvl w:val="1"/>
          <w:numId w:val="0"/>
        </w:numPr>
        <w:ind w:firstLine="420" w:firstLineChars="200"/>
        <w:rPr>
          <w:rFonts w:ascii="Times New Roman" w:eastAsia="宋体"/>
          <w:szCs w:val="20"/>
        </w:rPr>
      </w:pPr>
      <w:r>
        <w:rPr>
          <w:rFonts w:ascii="Times New Roman" w:eastAsia="宋体"/>
          <w:szCs w:val="20"/>
        </w:rPr>
        <w:t>甜瓜收获后及时把残枝、落叶杂草清理干净，集中进行无害化处理，保持田园清洁，降低下茬作物病虫害基数。</w:t>
      </w:r>
    </w:p>
    <w:p>
      <w:pPr>
        <w:pStyle w:val="104"/>
        <w:spacing w:before="312" w:after="312"/>
        <w:rPr>
          <w:rFonts w:ascii="Times New Roman"/>
        </w:rPr>
      </w:pPr>
      <w:bookmarkStart w:id="49" w:name="_Toc173502095"/>
      <w:r>
        <w:rPr>
          <w:rFonts w:ascii="Times New Roman"/>
        </w:rPr>
        <w:t>生产档案</w:t>
      </w:r>
      <w:bookmarkEnd w:id="49"/>
    </w:p>
    <w:p>
      <w:pPr>
        <w:pStyle w:val="230"/>
        <w:rPr>
          <w:rFonts w:ascii="Times New Roman"/>
        </w:rPr>
      </w:pPr>
      <w:r>
        <w:rPr>
          <w:rFonts w:ascii="Times New Roman"/>
        </w:rPr>
        <w:t>在甜瓜病虫害防治中建立生产技术档案并妥善保存，生产档案保存期为3年以上。生产档案详细记录甜瓜生育期、病虫害发生情况、防治措施、防治投入品使用情况等内容</w:t>
      </w:r>
      <w:r>
        <w:rPr>
          <w:rFonts w:hint="eastAsia" w:ascii="Times New Roman"/>
        </w:rPr>
        <w:t>。</w:t>
      </w:r>
    </w:p>
    <w:p>
      <w:pPr>
        <w:pStyle w:val="56"/>
        <w:ind w:firstLine="420"/>
        <w:sectPr>
          <w:pgSz w:w="11906" w:h="16838"/>
          <w:pgMar w:top="2410" w:right="1134" w:bottom="1134" w:left="1134" w:header="1418" w:footer="1134" w:gutter="284"/>
          <w:pgNumType w:start="1"/>
          <w:cols w:space="425" w:num="1"/>
          <w:formProt w:val="0"/>
          <w:docGrid w:type="lines" w:linePitch="312" w:charSpace="0"/>
        </w:sectPr>
      </w:pPr>
    </w:p>
    <w:bookmarkEnd w:id="24"/>
    <w:p>
      <w:pPr>
        <w:pStyle w:val="198"/>
        <w:rPr>
          <w:vanish w:val="0"/>
        </w:rPr>
      </w:pPr>
      <w:bookmarkStart w:id="50" w:name="BookMark5"/>
    </w:p>
    <w:p>
      <w:pPr>
        <w:pStyle w:val="199"/>
        <w:rPr>
          <w:vanish w:val="0"/>
        </w:rPr>
      </w:pPr>
    </w:p>
    <w:p>
      <w:pPr>
        <w:pStyle w:val="76"/>
        <w:spacing w:before="78" w:after="156"/>
      </w:pPr>
      <w:r>
        <w:br w:type="textWrapping"/>
      </w:r>
      <w:bookmarkStart w:id="51" w:name="_Toc173502096"/>
      <w:r>
        <w:rPr>
          <w:rFonts w:hint="eastAsia"/>
        </w:rPr>
        <w:t>（资料性）</w:t>
      </w:r>
      <w:r>
        <w:br w:type="textWrapping"/>
      </w:r>
      <w:r>
        <w:rPr>
          <w:rFonts w:hint="eastAsia"/>
        </w:rPr>
        <w:t>设施甜瓜主要病虫害绿色防治药剂及使用方法</w:t>
      </w:r>
      <w:bookmarkEnd w:id="51"/>
    </w:p>
    <w:p>
      <w:pPr>
        <w:pStyle w:val="76"/>
        <w:numPr>
          <w:ilvl w:val="0"/>
          <w:numId w:val="0"/>
        </w:numPr>
        <w:spacing w:before="78" w:after="156"/>
        <w:jc w:val="both"/>
        <w:rPr>
          <w:rFonts w:ascii="宋体" w:hAnsi="宋体" w:eastAsia="宋体"/>
        </w:rPr>
      </w:pPr>
      <w:bookmarkStart w:id="52" w:name="_Toc173502097"/>
      <w:r>
        <w:rPr>
          <w:rFonts w:hint="eastAsia" w:ascii="宋体" w:hAnsi="宋体" w:eastAsia="宋体"/>
        </w:rPr>
        <w:t>设施甜瓜主要病虫害绿色防治药剂及使用方法见表A.1</w:t>
      </w:r>
      <w:bookmarkEnd w:id="52"/>
    </w:p>
    <w:p>
      <w:pPr>
        <w:pStyle w:val="78"/>
        <w:numPr>
          <w:ilvl w:val="0"/>
          <w:numId w:val="0"/>
        </w:numPr>
        <w:spacing w:before="156" w:after="156"/>
        <w:jc w:val="center"/>
      </w:pPr>
      <w:r>
        <w:rPr>
          <w:rFonts w:hint="eastAsia"/>
        </w:rPr>
        <w:t>表A.1  设施甜瓜主要病虫害绿色防治药剂及使用方法</w:t>
      </w:r>
    </w:p>
    <w:tbl>
      <w:tblPr>
        <w:tblStyle w:val="26"/>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3925"/>
        <w:gridCol w:w="2472"/>
        <w:gridCol w:w="1149"/>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527" w:type="pct"/>
            <w:tcBorders>
              <w:top w:val="single" w:color="auto" w:sz="8" w:space="0"/>
              <w:left w:val="single" w:color="auto" w:sz="8" w:space="0"/>
              <w:bottom w:val="single" w:color="auto" w:sz="8" w:space="0"/>
            </w:tcBorders>
            <w:vAlign w:val="center"/>
          </w:tcPr>
          <w:p>
            <w:pPr>
              <w:pStyle w:val="230"/>
              <w:ind w:firstLine="0" w:firstLineChars="0"/>
              <w:jc w:val="center"/>
              <w:rPr>
                <w:rFonts w:ascii="Times New Roman"/>
                <w:szCs w:val="21"/>
              </w:rPr>
            </w:pPr>
            <w:r>
              <w:rPr>
                <w:rFonts w:hint="eastAsia" w:ascii="Times New Roman"/>
                <w:szCs w:val="21"/>
              </w:rPr>
              <w:t>病虫害名称</w:t>
            </w:r>
          </w:p>
        </w:tc>
        <w:tc>
          <w:tcPr>
            <w:tcW w:w="2053" w:type="pct"/>
            <w:tcBorders>
              <w:top w:val="single" w:color="auto" w:sz="8" w:space="0"/>
              <w:bottom w:val="single" w:color="auto" w:sz="8" w:space="0"/>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农药名称</w:t>
            </w:r>
          </w:p>
        </w:tc>
        <w:tc>
          <w:tcPr>
            <w:tcW w:w="1293" w:type="pct"/>
            <w:tcBorders>
              <w:top w:val="single" w:color="auto" w:sz="8" w:space="0"/>
              <w:left w:val="single" w:color="auto" w:sz="4" w:space="0"/>
              <w:bottom w:val="single" w:color="auto" w:sz="8" w:space="0"/>
            </w:tcBorders>
            <w:vAlign w:val="center"/>
          </w:tcPr>
          <w:p>
            <w:pPr>
              <w:pStyle w:val="230"/>
              <w:ind w:firstLine="0" w:firstLineChars="0"/>
              <w:jc w:val="center"/>
              <w:rPr>
                <w:rFonts w:ascii="Times New Roman"/>
                <w:szCs w:val="21"/>
              </w:rPr>
            </w:pPr>
            <w:r>
              <w:rPr>
                <w:rFonts w:hint="eastAsia" w:ascii="Times New Roman"/>
                <w:szCs w:val="21"/>
              </w:rPr>
              <w:t>每667m</w:t>
            </w:r>
            <w:r>
              <w:rPr>
                <w:rFonts w:hint="eastAsia" w:ascii="Times New Roman"/>
                <w:szCs w:val="21"/>
                <w:vertAlign w:val="superscript"/>
              </w:rPr>
              <w:t>2</w:t>
            </w:r>
            <w:r>
              <w:rPr>
                <w:rFonts w:ascii="Times New Roman"/>
                <w:szCs w:val="21"/>
              </w:rPr>
              <w:t>有效成分用药量</w:t>
            </w:r>
            <w:r>
              <w:rPr>
                <w:rFonts w:hint="eastAsia" w:ascii="Times New Roman"/>
                <w:szCs w:val="21"/>
              </w:rPr>
              <w:t>或稀释倍数</w:t>
            </w:r>
          </w:p>
        </w:tc>
        <w:tc>
          <w:tcPr>
            <w:tcW w:w="601" w:type="pct"/>
            <w:tcBorders>
              <w:top w:val="single" w:color="auto" w:sz="8" w:space="0"/>
              <w:bottom w:val="single" w:color="auto" w:sz="8" w:space="0"/>
            </w:tcBorders>
            <w:vAlign w:val="center"/>
          </w:tcPr>
          <w:p>
            <w:pPr>
              <w:pStyle w:val="230"/>
              <w:ind w:firstLine="0" w:firstLineChars="0"/>
              <w:jc w:val="center"/>
              <w:rPr>
                <w:rFonts w:ascii="Times New Roman"/>
                <w:szCs w:val="21"/>
              </w:rPr>
            </w:pPr>
            <w:r>
              <w:rPr>
                <w:rFonts w:hint="eastAsia" w:ascii="Times New Roman"/>
                <w:szCs w:val="21"/>
              </w:rPr>
              <w:t>使用</w:t>
            </w:r>
          </w:p>
          <w:p>
            <w:pPr>
              <w:pStyle w:val="230"/>
              <w:ind w:firstLine="0" w:firstLineChars="0"/>
              <w:jc w:val="center"/>
              <w:rPr>
                <w:rFonts w:ascii="Times New Roman"/>
                <w:szCs w:val="21"/>
              </w:rPr>
            </w:pPr>
            <w:r>
              <w:rPr>
                <w:rFonts w:hint="eastAsia" w:ascii="Times New Roman"/>
                <w:szCs w:val="21"/>
              </w:rPr>
              <w:t>方法</w:t>
            </w:r>
          </w:p>
        </w:tc>
        <w:tc>
          <w:tcPr>
            <w:tcW w:w="526" w:type="pct"/>
            <w:tcBorders>
              <w:top w:val="single" w:color="auto" w:sz="8" w:space="0"/>
              <w:bottom w:val="single" w:color="auto" w:sz="8" w:space="0"/>
              <w:right w:val="single" w:color="auto" w:sz="8" w:space="0"/>
            </w:tcBorders>
            <w:vAlign w:val="center"/>
          </w:tcPr>
          <w:p>
            <w:pPr>
              <w:pStyle w:val="230"/>
              <w:ind w:firstLine="0" w:firstLineChars="0"/>
              <w:jc w:val="center"/>
              <w:rPr>
                <w:rFonts w:ascii="Times New Roman"/>
                <w:szCs w:val="21"/>
              </w:rPr>
            </w:pPr>
            <w:r>
              <w:rPr>
                <w:rFonts w:hint="eastAsia" w:ascii="Times New Roman"/>
                <w:szCs w:val="21"/>
              </w:rPr>
              <w:t>安全间隔期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27" w:type="pct"/>
            <w:vMerge w:val="restart"/>
            <w:tcBorders>
              <w:top w:val="single" w:color="auto" w:sz="8" w:space="0"/>
              <w:left w:val="single" w:color="auto" w:sz="8" w:space="0"/>
            </w:tcBorders>
            <w:vAlign w:val="center"/>
          </w:tcPr>
          <w:p>
            <w:pPr>
              <w:pStyle w:val="230"/>
              <w:ind w:firstLine="0" w:firstLineChars="0"/>
              <w:jc w:val="center"/>
              <w:rPr>
                <w:rFonts w:ascii="Times New Roman"/>
                <w:szCs w:val="21"/>
              </w:rPr>
            </w:pPr>
            <w:r>
              <w:rPr>
                <w:rFonts w:hint="eastAsia" w:ascii="Times New Roman"/>
                <w:szCs w:val="21"/>
              </w:rPr>
              <w:t>霜霉病</w:t>
            </w:r>
          </w:p>
        </w:tc>
        <w:tc>
          <w:tcPr>
            <w:tcW w:w="2053" w:type="pct"/>
            <w:tcBorders>
              <w:top w:val="single" w:color="auto" w:sz="8" w:space="0"/>
              <w:right w:val="single" w:color="auto" w:sz="4" w:space="0"/>
            </w:tcBorders>
            <w:vAlign w:val="center"/>
          </w:tcPr>
          <w:p>
            <w:pPr>
              <w:pStyle w:val="230"/>
              <w:ind w:firstLine="0" w:firstLineChars="0"/>
              <w:jc w:val="center"/>
              <w:rPr>
                <w:rFonts w:ascii="Times New Roman"/>
                <w:szCs w:val="21"/>
              </w:rPr>
            </w:pPr>
            <w:r>
              <w:rPr>
                <w:rFonts w:hint="eastAsia" w:ascii="Times New Roman" w:hAnsi="宋体"/>
                <w:szCs w:val="21"/>
              </w:rPr>
              <w:t>80亿个活芽孢</w:t>
            </w:r>
            <w:r>
              <w:rPr>
                <w:rFonts w:ascii="Times New Roman"/>
                <w:szCs w:val="21"/>
              </w:rPr>
              <w:t>/</w:t>
            </w:r>
            <w:r>
              <w:rPr>
                <w:rFonts w:hint="eastAsia" w:ascii="Times New Roman" w:hAnsi="宋体"/>
                <w:szCs w:val="21"/>
              </w:rPr>
              <w:t>mL</w:t>
            </w:r>
            <w:r>
              <w:rPr>
                <w:rFonts w:ascii="Times New Roman" w:hAnsi="宋体"/>
                <w:szCs w:val="21"/>
              </w:rPr>
              <w:t>地衣芽孢杆菌水剂</w:t>
            </w:r>
          </w:p>
        </w:tc>
        <w:tc>
          <w:tcPr>
            <w:tcW w:w="1293" w:type="pct"/>
            <w:tcBorders>
              <w:top w:val="single" w:color="auto" w:sz="8" w:space="0"/>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130 mL~260 mL</w:t>
            </w:r>
          </w:p>
        </w:tc>
        <w:tc>
          <w:tcPr>
            <w:tcW w:w="601" w:type="pct"/>
            <w:vMerge w:val="restart"/>
            <w:tcBorders>
              <w:top w:val="single" w:color="auto" w:sz="8" w:space="0"/>
            </w:tcBorders>
            <w:vAlign w:val="center"/>
          </w:tcPr>
          <w:p>
            <w:pPr>
              <w:pStyle w:val="230"/>
              <w:ind w:firstLine="0" w:firstLineChars="0"/>
              <w:jc w:val="center"/>
              <w:rPr>
                <w:rFonts w:ascii="Times New Roman"/>
                <w:szCs w:val="21"/>
              </w:rPr>
            </w:pPr>
            <w:r>
              <w:rPr>
                <w:rFonts w:ascii="Times New Roman" w:hAnsi="宋体"/>
                <w:szCs w:val="21"/>
              </w:rPr>
              <w:t>喷雾</w:t>
            </w:r>
          </w:p>
        </w:tc>
        <w:tc>
          <w:tcPr>
            <w:tcW w:w="526" w:type="pct"/>
            <w:tcBorders>
              <w:top w:val="single" w:color="auto" w:sz="8" w:space="0"/>
              <w:right w:val="single" w:color="auto" w:sz="8" w:space="0"/>
            </w:tcBorders>
            <w:vAlign w:val="center"/>
          </w:tcPr>
          <w:p>
            <w:pPr>
              <w:pStyle w:val="230"/>
              <w:ind w:firstLine="0" w:firstLineChars="0"/>
              <w:jc w:val="center"/>
              <w:rPr>
                <w:rFonts w:ascii="Times New Roman"/>
                <w:szCs w:val="21"/>
              </w:rPr>
            </w:pPr>
            <w:r>
              <w:rPr>
                <w:rFonts w:ascii="Times New Roman"/>
                <w:szCs w:val="21"/>
              </w:rPr>
              <w:t>10</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27" w:type="pct"/>
            <w:vMerge w:val="continue"/>
            <w:tcBorders>
              <w:left w:val="single" w:color="auto" w:sz="8" w:space="0"/>
            </w:tcBorders>
            <w:vAlign w:val="center"/>
          </w:tcPr>
          <w:p>
            <w:pPr>
              <w:pStyle w:val="230"/>
              <w:ind w:firstLine="0" w:firstLineChars="0"/>
              <w:jc w:val="center"/>
              <w:rPr>
                <w:rFonts w:ascii="Times New Roman"/>
                <w:szCs w:val="21"/>
              </w:rPr>
            </w:pPr>
          </w:p>
        </w:tc>
        <w:tc>
          <w:tcPr>
            <w:tcW w:w="2053" w:type="pct"/>
            <w:tcBorders>
              <w:top w:val="single" w:color="auto" w:sz="8" w:space="0"/>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60%唑醚</w:t>
            </w:r>
            <w:r>
              <w:t>·</w:t>
            </w:r>
            <w:r>
              <w:rPr>
                <w:rFonts w:hint="eastAsia" w:ascii="Times New Roman"/>
                <w:szCs w:val="21"/>
              </w:rPr>
              <w:t>锰锌水分散粒剂</w:t>
            </w:r>
          </w:p>
        </w:tc>
        <w:tc>
          <w:tcPr>
            <w:tcW w:w="1293" w:type="pct"/>
            <w:tcBorders>
              <w:top w:val="single" w:color="auto" w:sz="8" w:space="0"/>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80 g~100 g</w:t>
            </w:r>
          </w:p>
        </w:tc>
        <w:tc>
          <w:tcPr>
            <w:tcW w:w="601" w:type="pct"/>
            <w:vMerge w:val="continue"/>
            <w:vAlign w:val="center"/>
          </w:tcPr>
          <w:p>
            <w:pPr>
              <w:pStyle w:val="230"/>
              <w:ind w:firstLine="0" w:firstLineChars="0"/>
              <w:jc w:val="center"/>
              <w:rPr>
                <w:rFonts w:ascii="Times New Roman"/>
                <w:szCs w:val="21"/>
              </w:rPr>
            </w:pPr>
          </w:p>
        </w:tc>
        <w:tc>
          <w:tcPr>
            <w:tcW w:w="526" w:type="pct"/>
            <w:tcBorders>
              <w:top w:val="single" w:color="auto" w:sz="8" w:space="0"/>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27" w:type="pct"/>
            <w:vMerge w:val="continue"/>
            <w:tcBorders>
              <w:left w:val="single" w:color="auto" w:sz="8" w:space="0"/>
            </w:tcBorders>
            <w:vAlign w:val="center"/>
          </w:tcPr>
          <w:p>
            <w:pPr>
              <w:pStyle w:val="230"/>
              <w:ind w:firstLine="0" w:firstLineChars="0"/>
              <w:jc w:val="center"/>
              <w:rPr>
                <w:rFonts w:ascii="Times New Roman"/>
                <w:szCs w:val="21"/>
              </w:rPr>
            </w:pPr>
          </w:p>
        </w:tc>
        <w:tc>
          <w:tcPr>
            <w:tcW w:w="2053" w:type="pct"/>
            <w:tcBorders>
              <w:top w:val="single" w:color="auto" w:sz="8" w:space="0"/>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535 g/L霜脲</w:t>
            </w:r>
            <w:r>
              <w:t>·</w:t>
            </w:r>
            <w:r>
              <w:rPr>
                <w:rFonts w:hint="eastAsia" w:ascii="Times New Roman"/>
                <w:szCs w:val="21"/>
              </w:rPr>
              <w:t>霜霉威悬浮剂</w:t>
            </w:r>
          </w:p>
        </w:tc>
        <w:tc>
          <w:tcPr>
            <w:tcW w:w="1293" w:type="pct"/>
            <w:tcBorders>
              <w:top w:val="single" w:color="auto" w:sz="8" w:space="0"/>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70 mL~90 mL</w:t>
            </w:r>
          </w:p>
        </w:tc>
        <w:tc>
          <w:tcPr>
            <w:tcW w:w="601" w:type="pct"/>
            <w:vMerge w:val="continue"/>
            <w:vAlign w:val="center"/>
          </w:tcPr>
          <w:p>
            <w:pPr>
              <w:pStyle w:val="230"/>
              <w:ind w:firstLine="0" w:firstLineChars="0"/>
              <w:jc w:val="center"/>
              <w:rPr>
                <w:rFonts w:ascii="Times New Roman"/>
                <w:szCs w:val="21"/>
              </w:rPr>
            </w:pPr>
          </w:p>
        </w:tc>
        <w:tc>
          <w:tcPr>
            <w:tcW w:w="526" w:type="pct"/>
            <w:tcBorders>
              <w:top w:val="single" w:color="auto" w:sz="8" w:space="0"/>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27" w:type="pct"/>
            <w:vMerge w:val="restart"/>
            <w:tcBorders>
              <w:left w:val="single" w:color="auto" w:sz="8" w:space="0"/>
            </w:tcBorders>
            <w:vAlign w:val="center"/>
          </w:tcPr>
          <w:p>
            <w:pPr>
              <w:pStyle w:val="230"/>
              <w:ind w:firstLine="0" w:firstLineChars="0"/>
              <w:jc w:val="center"/>
              <w:rPr>
                <w:rFonts w:ascii="Times New Roman"/>
                <w:szCs w:val="21"/>
              </w:rPr>
            </w:pPr>
            <w:r>
              <w:rPr>
                <w:rFonts w:hint="eastAsia" w:ascii="Times New Roman"/>
                <w:szCs w:val="21"/>
              </w:rPr>
              <w:t>白粉病</w:t>
            </w:r>
          </w:p>
        </w:tc>
        <w:tc>
          <w:tcPr>
            <w:tcW w:w="2053" w:type="pct"/>
            <w:tcBorders>
              <w:right w:val="single" w:color="auto" w:sz="4" w:space="0"/>
            </w:tcBorders>
            <w:vAlign w:val="center"/>
          </w:tcPr>
          <w:p>
            <w:pPr>
              <w:pStyle w:val="230"/>
              <w:ind w:firstLine="60" w:firstLineChars="29"/>
              <w:jc w:val="center"/>
              <w:rPr>
                <w:rFonts w:ascii="Times New Roman"/>
                <w:szCs w:val="21"/>
              </w:rPr>
            </w:pPr>
            <w:r>
              <w:rPr>
                <w:rFonts w:hint="eastAsia" w:ascii="Times New Roman"/>
                <w:szCs w:val="21"/>
              </w:rPr>
              <w:t>430 g/L戊唑醇悬浮剂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5 mL~10 mL</w:t>
            </w:r>
          </w:p>
        </w:tc>
        <w:tc>
          <w:tcPr>
            <w:tcW w:w="601" w:type="pct"/>
            <w:vMerge w:val="restart"/>
            <w:vAlign w:val="center"/>
          </w:tcPr>
          <w:p>
            <w:pPr>
              <w:pStyle w:val="230"/>
              <w:ind w:firstLine="0" w:firstLineChars="0"/>
              <w:jc w:val="center"/>
              <w:rPr>
                <w:rFonts w:ascii="Times New Roman"/>
                <w:szCs w:val="21"/>
              </w:rPr>
            </w:pPr>
            <w:r>
              <w:rPr>
                <w:rFonts w:hint="eastAsia" w:ascii="Times New Roman"/>
                <w:szCs w:val="21"/>
              </w:rPr>
              <w:t>喷雾</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10</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527" w:type="pct"/>
            <w:vMerge w:val="continue"/>
            <w:tcBorders>
              <w:left w:val="single" w:color="auto" w:sz="8" w:space="0"/>
            </w:tcBorders>
            <w:vAlign w:val="center"/>
          </w:tcPr>
          <w:p>
            <w:pPr>
              <w:pStyle w:val="230"/>
              <w:ind w:firstLine="0" w:firstLineChars="0"/>
              <w:jc w:val="center"/>
              <w:rPr>
                <w:rFonts w:ascii="Times New Roman"/>
                <w:szCs w:val="21"/>
              </w:rPr>
            </w:pPr>
          </w:p>
        </w:tc>
        <w:tc>
          <w:tcPr>
            <w:tcW w:w="2053" w:type="pct"/>
            <w:tcBorders>
              <w:right w:val="single" w:color="auto" w:sz="4" w:space="0"/>
            </w:tcBorders>
            <w:vAlign w:val="center"/>
          </w:tcPr>
          <w:p>
            <w:pPr>
              <w:pStyle w:val="230"/>
              <w:ind w:firstLine="60" w:firstLineChars="29"/>
              <w:jc w:val="center"/>
              <w:rPr>
                <w:rFonts w:ascii="Times New Roman"/>
                <w:szCs w:val="21"/>
              </w:rPr>
            </w:pPr>
            <w:r>
              <w:rPr>
                <w:rFonts w:hint="eastAsia" w:ascii="Times New Roman"/>
                <w:szCs w:val="21"/>
              </w:rPr>
              <w:t>300 g/L醚菌</w:t>
            </w:r>
            <w:r>
              <w:t>·</w:t>
            </w:r>
            <w:r>
              <w:rPr>
                <w:rFonts w:hint="eastAsia" w:ascii="Times New Roman"/>
                <w:szCs w:val="21"/>
              </w:rPr>
              <w:t>啶酰菌悬浮剂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45 mL~60 mL</w:t>
            </w:r>
          </w:p>
        </w:tc>
        <w:tc>
          <w:tcPr>
            <w:tcW w:w="601" w:type="pct"/>
            <w:vMerge w:val="continue"/>
            <w:vAlign w:val="center"/>
          </w:tcPr>
          <w:p>
            <w:pPr>
              <w:pStyle w:val="230"/>
              <w:ind w:firstLine="0" w:firstLineChars="0"/>
              <w:jc w:val="center"/>
              <w:rPr>
                <w:rFonts w:ascii="Times New Roman"/>
                <w:szCs w:val="21"/>
              </w:rPr>
            </w:pP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3</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527" w:type="pct"/>
            <w:vMerge w:val="continue"/>
            <w:tcBorders>
              <w:left w:val="single" w:color="auto" w:sz="8" w:space="0"/>
            </w:tcBorders>
            <w:vAlign w:val="center"/>
          </w:tcPr>
          <w:p>
            <w:pPr>
              <w:pStyle w:val="230"/>
              <w:ind w:firstLine="0" w:firstLineChars="0"/>
              <w:jc w:val="center"/>
              <w:rPr>
                <w:rFonts w:ascii="Times New Roman"/>
                <w:szCs w:val="21"/>
              </w:rPr>
            </w:pPr>
          </w:p>
        </w:tc>
        <w:tc>
          <w:tcPr>
            <w:tcW w:w="2053" w:type="pct"/>
            <w:tcBorders>
              <w:right w:val="single" w:color="auto" w:sz="4" w:space="0"/>
            </w:tcBorders>
            <w:vAlign w:val="center"/>
          </w:tcPr>
          <w:p>
            <w:pPr>
              <w:pStyle w:val="230"/>
              <w:ind w:firstLine="0" w:firstLineChars="0"/>
              <w:jc w:val="center"/>
              <w:rPr>
                <w:rFonts w:ascii="Times New Roman"/>
                <w:szCs w:val="21"/>
              </w:rPr>
            </w:pPr>
            <w:r>
              <w:rPr>
                <w:rFonts w:hint="eastAsia" w:ascii="Times New Roman" w:hAnsi="宋体"/>
                <w:szCs w:val="21"/>
              </w:rPr>
              <w:t>1000亿芽孢/g枯草芽孢杆菌可湿性粉剂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100 g~120 g</w:t>
            </w:r>
          </w:p>
        </w:tc>
        <w:tc>
          <w:tcPr>
            <w:tcW w:w="601" w:type="pct"/>
            <w:vMerge w:val="continue"/>
            <w:vAlign w:val="center"/>
          </w:tcPr>
          <w:p>
            <w:pPr>
              <w:pStyle w:val="230"/>
              <w:ind w:firstLine="0" w:firstLineChars="0"/>
              <w:jc w:val="center"/>
              <w:rPr>
                <w:rFonts w:ascii="Times New Roman"/>
                <w:szCs w:val="21"/>
              </w:rPr>
            </w:pP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527" w:type="pct"/>
            <w:vMerge w:val="restart"/>
            <w:tcBorders>
              <w:left w:val="single" w:color="auto" w:sz="8" w:space="0"/>
            </w:tcBorders>
            <w:vAlign w:val="center"/>
          </w:tcPr>
          <w:p>
            <w:pPr>
              <w:pStyle w:val="230"/>
              <w:ind w:firstLine="0" w:firstLineChars="0"/>
              <w:jc w:val="center"/>
              <w:rPr>
                <w:rFonts w:ascii="Times New Roman"/>
                <w:szCs w:val="21"/>
              </w:rPr>
            </w:pPr>
            <w:r>
              <w:rPr>
                <w:rFonts w:hint="eastAsia" w:ascii="Times New Roman"/>
                <w:szCs w:val="21"/>
              </w:rPr>
              <w:t>猝倒病</w:t>
            </w:r>
          </w:p>
        </w:tc>
        <w:tc>
          <w:tcPr>
            <w:tcW w:w="2053" w:type="pct"/>
            <w:tcBorders>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15%噁霉灵水剂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3 335 mL~4 669 mL</w:t>
            </w:r>
          </w:p>
        </w:tc>
        <w:tc>
          <w:tcPr>
            <w:tcW w:w="601" w:type="pct"/>
            <w:vAlign w:val="center"/>
          </w:tcPr>
          <w:p>
            <w:pPr>
              <w:pStyle w:val="230"/>
              <w:ind w:firstLine="0" w:firstLineChars="0"/>
              <w:jc w:val="center"/>
              <w:rPr>
                <w:rFonts w:ascii="Times New Roman"/>
                <w:szCs w:val="21"/>
              </w:rPr>
            </w:pPr>
            <w:r>
              <w:rPr>
                <w:rFonts w:hint="eastAsia" w:ascii="Times New Roman"/>
                <w:szCs w:val="21"/>
              </w:rPr>
              <w:t>苗床喷淋</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5</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527" w:type="pct"/>
            <w:vMerge w:val="continue"/>
            <w:tcBorders>
              <w:left w:val="single" w:color="auto" w:sz="8" w:space="0"/>
            </w:tcBorders>
            <w:vAlign w:val="center"/>
          </w:tcPr>
          <w:p>
            <w:pPr>
              <w:pStyle w:val="230"/>
              <w:ind w:firstLine="0" w:firstLineChars="0"/>
              <w:jc w:val="center"/>
              <w:rPr>
                <w:rFonts w:ascii="Times New Roman"/>
                <w:szCs w:val="21"/>
              </w:rPr>
            </w:pPr>
          </w:p>
        </w:tc>
        <w:tc>
          <w:tcPr>
            <w:tcW w:w="2053" w:type="pct"/>
            <w:tcBorders>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30%精甲</w:t>
            </w:r>
            <w:r>
              <w:t>·</w:t>
            </w:r>
            <w:r>
              <w:rPr>
                <w:rFonts w:hint="eastAsia" w:ascii="Times New Roman"/>
                <w:szCs w:val="21"/>
              </w:rPr>
              <w:t>噁霉灵可溶液剂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800倍液~ 1 000倍液</w:t>
            </w:r>
          </w:p>
        </w:tc>
        <w:tc>
          <w:tcPr>
            <w:tcW w:w="601" w:type="pct"/>
            <w:vAlign w:val="center"/>
          </w:tcPr>
          <w:p>
            <w:pPr>
              <w:pStyle w:val="230"/>
              <w:ind w:firstLine="0" w:firstLineChars="0"/>
              <w:jc w:val="center"/>
              <w:rPr>
                <w:rFonts w:ascii="Times New Roman"/>
                <w:szCs w:val="21"/>
              </w:rPr>
            </w:pPr>
            <w:r>
              <w:rPr>
                <w:rFonts w:hint="eastAsia" w:ascii="Times New Roman"/>
                <w:szCs w:val="21"/>
              </w:rPr>
              <w:t>灌根</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14</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527" w:type="pct"/>
            <w:vMerge w:val="restart"/>
            <w:tcBorders>
              <w:left w:val="single" w:color="auto" w:sz="8" w:space="0"/>
            </w:tcBorders>
            <w:vAlign w:val="center"/>
          </w:tcPr>
          <w:p>
            <w:pPr>
              <w:pStyle w:val="230"/>
              <w:ind w:firstLine="0" w:firstLineChars="0"/>
              <w:jc w:val="center"/>
              <w:rPr>
                <w:rFonts w:ascii="Times New Roman"/>
                <w:szCs w:val="21"/>
              </w:rPr>
            </w:pPr>
            <w:r>
              <w:rPr>
                <w:rFonts w:hint="eastAsia" w:ascii="Times New Roman"/>
                <w:szCs w:val="21"/>
              </w:rPr>
              <w:t>根腐病</w:t>
            </w:r>
          </w:p>
        </w:tc>
        <w:tc>
          <w:tcPr>
            <w:tcW w:w="2053" w:type="pct"/>
            <w:tcBorders>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440 g/L精甲</w:t>
            </w:r>
            <w:r>
              <w:t>·</w:t>
            </w:r>
            <w:r>
              <w:rPr>
                <w:rFonts w:hint="eastAsia" w:ascii="Times New Roman"/>
                <w:szCs w:val="21"/>
              </w:rPr>
              <w:t>百菌清悬浮剂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200 mL~250 mL</w:t>
            </w:r>
          </w:p>
        </w:tc>
        <w:tc>
          <w:tcPr>
            <w:tcW w:w="601" w:type="pct"/>
            <w:vMerge w:val="restart"/>
            <w:vAlign w:val="center"/>
          </w:tcPr>
          <w:p>
            <w:pPr>
              <w:pStyle w:val="230"/>
              <w:ind w:firstLine="0" w:firstLineChars="0"/>
              <w:jc w:val="center"/>
              <w:rPr>
                <w:rFonts w:ascii="Times New Roman"/>
                <w:szCs w:val="21"/>
              </w:rPr>
            </w:pPr>
            <w:r>
              <w:rPr>
                <w:rFonts w:hint="eastAsia" w:ascii="Times New Roman"/>
                <w:szCs w:val="21"/>
              </w:rPr>
              <w:t>灌根</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15</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527" w:type="pct"/>
            <w:vMerge w:val="continue"/>
            <w:tcBorders>
              <w:left w:val="single" w:color="auto" w:sz="8" w:space="0"/>
            </w:tcBorders>
            <w:vAlign w:val="center"/>
          </w:tcPr>
          <w:p>
            <w:pPr>
              <w:pStyle w:val="230"/>
              <w:ind w:firstLine="0" w:firstLineChars="0"/>
              <w:jc w:val="center"/>
              <w:rPr>
                <w:rFonts w:ascii="Times New Roman"/>
                <w:szCs w:val="21"/>
              </w:rPr>
            </w:pPr>
          </w:p>
        </w:tc>
        <w:tc>
          <w:tcPr>
            <w:tcW w:w="2053" w:type="pct"/>
            <w:tcBorders>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60%铜钙</w:t>
            </w:r>
            <w:r>
              <w:t>·</w:t>
            </w:r>
            <w:r>
              <w:rPr>
                <w:rFonts w:hint="eastAsia" w:ascii="Times New Roman"/>
                <w:szCs w:val="21"/>
              </w:rPr>
              <w:t>多菌灵可湿性粉剂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500倍液~600倍液</w:t>
            </w:r>
          </w:p>
        </w:tc>
        <w:tc>
          <w:tcPr>
            <w:tcW w:w="601" w:type="pct"/>
            <w:vMerge w:val="continue"/>
            <w:vAlign w:val="center"/>
          </w:tcPr>
          <w:p>
            <w:pPr>
              <w:pStyle w:val="230"/>
              <w:ind w:firstLine="0" w:firstLineChars="0"/>
              <w:jc w:val="center"/>
              <w:rPr>
                <w:rFonts w:ascii="Times New Roman"/>
                <w:szCs w:val="21"/>
              </w:rPr>
            </w:pP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527" w:type="pct"/>
            <w:tcBorders>
              <w:left w:val="single" w:color="auto" w:sz="8" w:space="0"/>
            </w:tcBorders>
            <w:vAlign w:val="center"/>
          </w:tcPr>
          <w:p>
            <w:pPr>
              <w:pStyle w:val="230"/>
              <w:ind w:firstLine="0" w:firstLineChars="0"/>
              <w:jc w:val="center"/>
              <w:rPr>
                <w:rFonts w:ascii="Times New Roman"/>
                <w:szCs w:val="21"/>
              </w:rPr>
            </w:pPr>
            <w:r>
              <w:rPr>
                <w:rFonts w:ascii="Times New Roman" w:hAnsi="宋体"/>
                <w:szCs w:val="21"/>
              </w:rPr>
              <w:t>枯萎病</w:t>
            </w:r>
          </w:p>
        </w:tc>
        <w:tc>
          <w:tcPr>
            <w:tcW w:w="2053" w:type="pct"/>
            <w:tcBorders>
              <w:right w:val="single" w:color="auto" w:sz="4" w:space="0"/>
            </w:tcBorders>
            <w:vAlign w:val="center"/>
          </w:tcPr>
          <w:p>
            <w:pPr>
              <w:pStyle w:val="230"/>
              <w:ind w:firstLine="0" w:firstLineChars="0"/>
              <w:jc w:val="center"/>
              <w:rPr>
                <w:rFonts w:ascii="Times New Roman"/>
                <w:szCs w:val="21"/>
              </w:rPr>
            </w:pPr>
            <w:r>
              <w:rPr>
                <w:rFonts w:hint="eastAsia" w:ascii="Times New Roman" w:hAnsi="宋体"/>
                <w:szCs w:val="21"/>
              </w:rPr>
              <w:t>2</w:t>
            </w:r>
            <w:r>
              <w:rPr>
                <w:rFonts w:ascii="Times New Roman" w:hAnsi="宋体"/>
                <w:szCs w:val="21"/>
              </w:rPr>
              <w:t>%</w:t>
            </w:r>
            <w:r>
              <w:rPr>
                <w:rFonts w:hint="eastAsia" w:ascii="Times New Roman" w:hAnsi="宋体"/>
                <w:szCs w:val="21"/>
              </w:rPr>
              <w:t>春雷霉素可湿性粉剂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ascii="Times New Roman" w:hAnsi="宋体"/>
                <w:szCs w:val="21"/>
              </w:rPr>
              <w:t>1</w:t>
            </w:r>
            <w:r>
              <w:rPr>
                <w:rFonts w:hint="eastAsia" w:ascii="Times New Roman" w:hAnsi="宋体"/>
                <w:szCs w:val="21"/>
              </w:rPr>
              <w:t>0</w:t>
            </w:r>
            <w:r>
              <w:rPr>
                <w:rFonts w:ascii="Times New Roman" w:hAnsi="宋体"/>
                <w:szCs w:val="21"/>
              </w:rPr>
              <w:t>0倍液~</w:t>
            </w:r>
            <w:r>
              <w:rPr>
                <w:rFonts w:hint="eastAsia" w:ascii="Times New Roman" w:hAnsi="宋体"/>
                <w:szCs w:val="21"/>
              </w:rPr>
              <w:t>15</w:t>
            </w:r>
            <w:r>
              <w:rPr>
                <w:rFonts w:ascii="Times New Roman" w:hAnsi="宋体"/>
                <w:szCs w:val="21"/>
              </w:rPr>
              <w:t>0倍液</w:t>
            </w:r>
          </w:p>
        </w:tc>
        <w:tc>
          <w:tcPr>
            <w:tcW w:w="601" w:type="pct"/>
            <w:vAlign w:val="center"/>
          </w:tcPr>
          <w:p>
            <w:pPr>
              <w:pStyle w:val="230"/>
              <w:ind w:firstLine="0" w:firstLineChars="0"/>
              <w:jc w:val="center"/>
              <w:rPr>
                <w:rFonts w:ascii="Times New Roman"/>
                <w:szCs w:val="21"/>
              </w:rPr>
            </w:pPr>
            <w:r>
              <w:rPr>
                <w:rFonts w:hint="eastAsia" w:ascii="Times New Roman" w:hAnsi="宋体"/>
                <w:szCs w:val="21"/>
              </w:rPr>
              <w:t>灌根</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10</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27" w:type="pct"/>
            <w:tcBorders>
              <w:left w:val="single" w:color="auto" w:sz="8" w:space="0"/>
            </w:tcBorders>
            <w:vAlign w:val="center"/>
          </w:tcPr>
          <w:p>
            <w:pPr>
              <w:pStyle w:val="230"/>
              <w:ind w:firstLine="0" w:firstLineChars="0"/>
              <w:jc w:val="center"/>
              <w:rPr>
                <w:rFonts w:ascii="Times New Roman"/>
                <w:szCs w:val="21"/>
              </w:rPr>
            </w:pPr>
            <w:r>
              <w:rPr>
                <w:rFonts w:hint="eastAsia" w:ascii="Times New Roman"/>
                <w:szCs w:val="21"/>
              </w:rPr>
              <w:t>灰霉病</w:t>
            </w:r>
          </w:p>
        </w:tc>
        <w:tc>
          <w:tcPr>
            <w:tcW w:w="2053" w:type="pct"/>
            <w:tcBorders>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35%吡唑</w:t>
            </w:r>
            <w:r>
              <w:t>·</w:t>
            </w:r>
            <w:r>
              <w:rPr>
                <w:rFonts w:hint="eastAsia" w:ascii="Times New Roman"/>
                <w:szCs w:val="21"/>
              </w:rPr>
              <w:t>异菌脲悬浮剂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32 mL~48 mL</w:t>
            </w:r>
          </w:p>
        </w:tc>
        <w:tc>
          <w:tcPr>
            <w:tcW w:w="601" w:type="pct"/>
            <w:vAlign w:val="center"/>
          </w:tcPr>
          <w:p>
            <w:pPr>
              <w:pStyle w:val="230"/>
              <w:ind w:firstLine="0" w:firstLineChars="0"/>
              <w:jc w:val="center"/>
              <w:rPr>
                <w:rFonts w:ascii="Times New Roman"/>
                <w:szCs w:val="21"/>
              </w:rPr>
            </w:pPr>
            <w:r>
              <w:rPr>
                <w:rFonts w:hint="eastAsia" w:ascii="Times New Roman"/>
                <w:szCs w:val="21"/>
              </w:rPr>
              <w:t>喷雾</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27" w:type="pct"/>
            <w:vMerge w:val="restart"/>
            <w:tcBorders>
              <w:left w:val="single" w:color="auto" w:sz="8" w:space="0"/>
            </w:tcBorders>
            <w:vAlign w:val="center"/>
          </w:tcPr>
          <w:p>
            <w:pPr>
              <w:pStyle w:val="230"/>
              <w:ind w:firstLine="0" w:firstLineChars="0"/>
              <w:jc w:val="center"/>
              <w:rPr>
                <w:rFonts w:ascii="Times New Roman"/>
                <w:szCs w:val="21"/>
              </w:rPr>
            </w:pPr>
            <w:r>
              <w:rPr>
                <w:rFonts w:hint="eastAsia" w:ascii="Times New Roman"/>
                <w:szCs w:val="21"/>
              </w:rPr>
              <w:t>炭疽病</w:t>
            </w:r>
          </w:p>
        </w:tc>
        <w:tc>
          <w:tcPr>
            <w:tcW w:w="2053" w:type="pct"/>
            <w:tcBorders>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30%苯甲</w:t>
            </w:r>
            <w:r>
              <w:t>·</w:t>
            </w:r>
            <w:r>
              <w:rPr>
                <w:rFonts w:hint="eastAsia" w:ascii="Times New Roman"/>
                <w:szCs w:val="21"/>
              </w:rPr>
              <w:t>嘧菌酯悬浮剂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40 mL~50 mL</w:t>
            </w:r>
          </w:p>
        </w:tc>
        <w:tc>
          <w:tcPr>
            <w:tcW w:w="601" w:type="pct"/>
            <w:vMerge w:val="restart"/>
            <w:vAlign w:val="center"/>
          </w:tcPr>
          <w:p>
            <w:pPr>
              <w:pStyle w:val="230"/>
              <w:ind w:firstLine="0" w:firstLineChars="0"/>
              <w:jc w:val="center"/>
              <w:rPr>
                <w:rFonts w:ascii="Times New Roman"/>
                <w:szCs w:val="21"/>
              </w:rPr>
            </w:pPr>
            <w:r>
              <w:rPr>
                <w:rFonts w:hint="eastAsia" w:ascii="Times New Roman"/>
                <w:szCs w:val="21"/>
              </w:rPr>
              <w:t>喷雾</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27" w:type="pct"/>
            <w:vMerge w:val="continue"/>
            <w:tcBorders>
              <w:left w:val="single" w:color="auto" w:sz="8" w:space="0"/>
            </w:tcBorders>
            <w:vAlign w:val="center"/>
          </w:tcPr>
          <w:p>
            <w:pPr>
              <w:pStyle w:val="230"/>
              <w:ind w:firstLine="0" w:firstLineChars="0"/>
              <w:jc w:val="center"/>
              <w:rPr>
                <w:rFonts w:ascii="Times New Roman"/>
                <w:szCs w:val="21"/>
              </w:rPr>
            </w:pPr>
          </w:p>
        </w:tc>
        <w:tc>
          <w:tcPr>
            <w:tcW w:w="2053" w:type="pct"/>
            <w:tcBorders>
              <w:right w:val="single" w:color="auto" w:sz="4" w:space="0"/>
            </w:tcBorders>
            <w:vAlign w:val="center"/>
          </w:tcPr>
          <w:p>
            <w:pPr>
              <w:pStyle w:val="230"/>
              <w:ind w:firstLine="0" w:firstLineChars="0"/>
              <w:jc w:val="center"/>
              <w:rPr>
                <w:rFonts w:ascii="Times New Roman"/>
                <w:szCs w:val="21"/>
              </w:rPr>
            </w:pPr>
            <w:r>
              <w:rPr>
                <w:rFonts w:hint="eastAsia" w:ascii="Times New Roman"/>
                <w:szCs w:val="21"/>
              </w:rPr>
              <w:t>30%吡唑醚菌酯</w:t>
            </w:r>
            <w:r>
              <w:t>·</w:t>
            </w:r>
            <w:r>
              <w:rPr>
                <w:rFonts w:hint="eastAsia" w:ascii="Times New Roman"/>
                <w:szCs w:val="21"/>
              </w:rPr>
              <w:t>溴菌腈水乳剂</w:t>
            </w:r>
          </w:p>
        </w:tc>
        <w:tc>
          <w:tcPr>
            <w:tcW w:w="1293" w:type="pct"/>
            <w:tcBorders>
              <w:left w:val="single" w:color="auto" w:sz="4" w:space="0"/>
            </w:tcBorders>
            <w:vAlign w:val="center"/>
          </w:tcPr>
          <w:p>
            <w:pPr>
              <w:pStyle w:val="230"/>
              <w:ind w:firstLine="0" w:firstLineChars="0"/>
              <w:jc w:val="center"/>
              <w:rPr>
                <w:rFonts w:ascii="Times New Roman"/>
                <w:szCs w:val="21"/>
              </w:rPr>
            </w:pPr>
            <w:r>
              <w:rPr>
                <w:rFonts w:hint="eastAsia" w:ascii="Times New Roman"/>
                <w:szCs w:val="21"/>
              </w:rPr>
              <w:t>40 mL ~50mL</w:t>
            </w:r>
          </w:p>
        </w:tc>
        <w:tc>
          <w:tcPr>
            <w:tcW w:w="601" w:type="pct"/>
            <w:vMerge w:val="continue"/>
            <w:vAlign w:val="center"/>
          </w:tcPr>
          <w:p>
            <w:pPr>
              <w:pStyle w:val="230"/>
              <w:ind w:firstLine="0" w:firstLineChars="0"/>
              <w:jc w:val="center"/>
              <w:rPr>
                <w:rFonts w:ascii="Times New Roman"/>
                <w:szCs w:val="21"/>
              </w:rPr>
            </w:pP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27" w:type="pct"/>
            <w:tcBorders>
              <w:left w:val="single" w:color="auto" w:sz="8" w:space="0"/>
            </w:tcBorders>
            <w:vAlign w:val="center"/>
          </w:tcPr>
          <w:p>
            <w:pPr>
              <w:pStyle w:val="230"/>
              <w:ind w:firstLine="0" w:firstLineChars="0"/>
              <w:jc w:val="center"/>
              <w:rPr>
                <w:rFonts w:ascii="Times New Roman"/>
                <w:szCs w:val="21"/>
              </w:rPr>
            </w:pPr>
            <w:r>
              <w:rPr>
                <w:rFonts w:hint="eastAsia" w:ascii="Times New Roman"/>
                <w:szCs w:val="21"/>
              </w:rPr>
              <w:t>细菌性角斑病</w:t>
            </w:r>
          </w:p>
        </w:tc>
        <w:tc>
          <w:tcPr>
            <w:tcW w:w="2053" w:type="pct"/>
            <w:vAlign w:val="center"/>
          </w:tcPr>
          <w:p>
            <w:pPr>
              <w:pStyle w:val="230"/>
              <w:ind w:firstLine="0" w:firstLineChars="0"/>
              <w:jc w:val="center"/>
              <w:rPr>
                <w:rFonts w:ascii="Times New Roman"/>
                <w:szCs w:val="21"/>
              </w:rPr>
            </w:pPr>
            <w:r>
              <w:rPr>
                <w:rFonts w:hint="eastAsia" w:ascii="Times New Roman"/>
                <w:szCs w:val="21"/>
              </w:rPr>
              <w:t>30%春雷霉素</w:t>
            </w:r>
            <w:r>
              <w:t>·</w:t>
            </w:r>
            <w:r>
              <w:rPr>
                <w:rFonts w:hint="eastAsia" w:ascii="Times New Roman"/>
                <w:szCs w:val="21"/>
              </w:rPr>
              <w:t>溴硝醇水分散粒剂</w:t>
            </w:r>
          </w:p>
        </w:tc>
        <w:tc>
          <w:tcPr>
            <w:tcW w:w="1293" w:type="pct"/>
            <w:vAlign w:val="center"/>
          </w:tcPr>
          <w:p>
            <w:pPr>
              <w:pStyle w:val="230"/>
              <w:ind w:firstLine="0" w:firstLineChars="0"/>
              <w:jc w:val="center"/>
              <w:rPr>
                <w:rFonts w:ascii="Times New Roman"/>
                <w:szCs w:val="21"/>
              </w:rPr>
            </w:pPr>
            <w:r>
              <w:rPr>
                <w:rFonts w:hint="eastAsia" w:ascii="Times New Roman"/>
                <w:szCs w:val="21"/>
              </w:rPr>
              <w:t>25 g~30 g</w:t>
            </w:r>
          </w:p>
        </w:tc>
        <w:tc>
          <w:tcPr>
            <w:tcW w:w="601" w:type="pct"/>
            <w:vAlign w:val="center"/>
          </w:tcPr>
          <w:p>
            <w:pPr>
              <w:pStyle w:val="230"/>
              <w:ind w:firstLine="0" w:firstLineChars="0"/>
              <w:jc w:val="center"/>
              <w:rPr>
                <w:rFonts w:ascii="Times New Roman"/>
                <w:szCs w:val="21"/>
              </w:rPr>
            </w:pPr>
            <w:r>
              <w:rPr>
                <w:rFonts w:hint="eastAsia" w:ascii="Times New Roman"/>
                <w:szCs w:val="21"/>
              </w:rPr>
              <w:t>喷雾</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27" w:type="pct"/>
            <w:vMerge w:val="restart"/>
            <w:tcBorders>
              <w:left w:val="single" w:color="auto" w:sz="8" w:space="0"/>
            </w:tcBorders>
            <w:vAlign w:val="center"/>
          </w:tcPr>
          <w:p>
            <w:pPr>
              <w:pStyle w:val="230"/>
              <w:ind w:firstLine="0" w:firstLineChars="0"/>
              <w:jc w:val="center"/>
              <w:rPr>
                <w:rFonts w:ascii="Times New Roman"/>
                <w:szCs w:val="21"/>
              </w:rPr>
            </w:pPr>
            <w:r>
              <w:rPr>
                <w:rFonts w:hint="eastAsia" w:ascii="Times New Roman"/>
                <w:szCs w:val="21"/>
              </w:rPr>
              <w:t>蚜虫</w:t>
            </w:r>
          </w:p>
        </w:tc>
        <w:tc>
          <w:tcPr>
            <w:tcW w:w="2053" w:type="pct"/>
            <w:vAlign w:val="center"/>
          </w:tcPr>
          <w:p>
            <w:pPr>
              <w:pStyle w:val="230"/>
              <w:ind w:firstLine="0" w:firstLineChars="0"/>
              <w:jc w:val="center"/>
              <w:rPr>
                <w:rFonts w:ascii="Times New Roman"/>
                <w:szCs w:val="21"/>
              </w:rPr>
            </w:pPr>
            <w:r>
              <w:rPr>
                <w:rFonts w:hint="eastAsia" w:ascii="Times New Roman"/>
                <w:szCs w:val="21"/>
              </w:rPr>
              <w:t>2.5%高效氯氟氰菊酯水乳剂</w:t>
            </w:r>
          </w:p>
        </w:tc>
        <w:tc>
          <w:tcPr>
            <w:tcW w:w="1293" w:type="pct"/>
            <w:vAlign w:val="center"/>
          </w:tcPr>
          <w:p>
            <w:pPr>
              <w:pStyle w:val="230"/>
              <w:ind w:firstLine="0" w:firstLineChars="0"/>
              <w:jc w:val="center"/>
              <w:rPr>
                <w:rFonts w:ascii="Times New Roman"/>
                <w:szCs w:val="21"/>
              </w:rPr>
            </w:pPr>
            <w:r>
              <w:rPr>
                <w:rFonts w:hint="eastAsia" w:ascii="Times New Roman"/>
                <w:szCs w:val="21"/>
              </w:rPr>
              <w:t>18 mL~30 mL</w:t>
            </w:r>
          </w:p>
        </w:tc>
        <w:tc>
          <w:tcPr>
            <w:tcW w:w="601" w:type="pct"/>
            <w:vMerge w:val="restart"/>
            <w:vAlign w:val="center"/>
          </w:tcPr>
          <w:p>
            <w:pPr>
              <w:pStyle w:val="230"/>
              <w:ind w:firstLine="0" w:firstLineChars="0"/>
              <w:jc w:val="center"/>
              <w:rPr>
                <w:rFonts w:ascii="Times New Roman"/>
                <w:szCs w:val="21"/>
              </w:rPr>
            </w:pPr>
            <w:r>
              <w:rPr>
                <w:rFonts w:hint="eastAsia" w:ascii="Times New Roman"/>
                <w:szCs w:val="21"/>
              </w:rPr>
              <w:t>喷雾</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27" w:type="pct"/>
            <w:vMerge w:val="continue"/>
            <w:tcBorders>
              <w:left w:val="single" w:color="auto" w:sz="8" w:space="0"/>
            </w:tcBorders>
            <w:vAlign w:val="center"/>
          </w:tcPr>
          <w:p>
            <w:pPr>
              <w:pStyle w:val="230"/>
              <w:ind w:firstLine="0" w:firstLineChars="0"/>
              <w:jc w:val="center"/>
              <w:rPr>
                <w:rFonts w:ascii="Times New Roman"/>
                <w:szCs w:val="21"/>
              </w:rPr>
            </w:pPr>
          </w:p>
        </w:tc>
        <w:tc>
          <w:tcPr>
            <w:tcW w:w="2053" w:type="pct"/>
            <w:vAlign w:val="center"/>
          </w:tcPr>
          <w:p>
            <w:pPr>
              <w:pStyle w:val="230"/>
              <w:ind w:firstLine="0" w:firstLineChars="0"/>
              <w:jc w:val="center"/>
              <w:rPr>
                <w:rFonts w:ascii="Times New Roman"/>
                <w:szCs w:val="21"/>
              </w:rPr>
            </w:pPr>
            <w:r>
              <w:rPr>
                <w:rFonts w:hint="eastAsia" w:ascii="Times New Roman"/>
                <w:szCs w:val="21"/>
              </w:rPr>
              <w:t>1</w:t>
            </w:r>
            <w:r>
              <w:rPr>
                <w:rFonts w:ascii="Times New Roman"/>
                <w:szCs w:val="21"/>
              </w:rPr>
              <w:t>%</w:t>
            </w:r>
            <w:r>
              <w:rPr>
                <w:rFonts w:ascii="Times New Roman" w:hAnsi="宋体"/>
                <w:szCs w:val="21"/>
              </w:rPr>
              <w:t>蛇床子素</w:t>
            </w:r>
            <w:r>
              <w:rPr>
                <w:rFonts w:hint="eastAsia" w:ascii="Times New Roman" w:hAnsi="宋体"/>
                <w:szCs w:val="21"/>
              </w:rPr>
              <w:t>水乳剂</w:t>
            </w:r>
          </w:p>
        </w:tc>
        <w:tc>
          <w:tcPr>
            <w:tcW w:w="1293" w:type="pct"/>
            <w:vAlign w:val="center"/>
          </w:tcPr>
          <w:p>
            <w:pPr>
              <w:pStyle w:val="230"/>
              <w:ind w:firstLine="0" w:firstLineChars="0"/>
              <w:jc w:val="center"/>
              <w:rPr>
                <w:rFonts w:ascii="Times New Roman"/>
                <w:szCs w:val="21"/>
              </w:rPr>
            </w:pPr>
            <w:r>
              <w:rPr>
                <w:rFonts w:hint="eastAsia" w:ascii="Times New Roman"/>
                <w:szCs w:val="21"/>
              </w:rPr>
              <w:t>50 mL~60 mL</w:t>
            </w:r>
          </w:p>
        </w:tc>
        <w:tc>
          <w:tcPr>
            <w:tcW w:w="601" w:type="pct"/>
            <w:vMerge w:val="continue"/>
            <w:vAlign w:val="center"/>
          </w:tcPr>
          <w:p>
            <w:pPr>
              <w:pStyle w:val="230"/>
              <w:ind w:firstLine="0" w:firstLineChars="0"/>
              <w:jc w:val="center"/>
              <w:rPr>
                <w:rFonts w:ascii="Times New Roman"/>
                <w:szCs w:val="21"/>
              </w:rPr>
            </w:pP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10</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27" w:type="pct"/>
            <w:vMerge w:val="continue"/>
            <w:tcBorders>
              <w:left w:val="single" w:color="auto" w:sz="8" w:space="0"/>
            </w:tcBorders>
            <w:vAlign w:val="center"/>
          </w:tcPr>
          <w:p>
            <w:pPr>
              <w:pStyle w:val="230"/>
              <w:ind w:firstLine="0" w:firstLineChars="0"/>
              <w:jc w:val="center"/>
              <w:rPr>
                <w:rFonts w:ascii="Times New Roman"/>
                <w:szCs w:val="21"/>
              </w:rPr>
            </w:pPr>
          </w:p>
        </w:tc>
        <w:tc>
          <w:tcPr>
            <w:tcW w:w="2053" w:type="pct"/>
            <w:vAlign w:val="center"/>
          </w:tcPr>
          <w:p>
            <w:pPr>
              <w:pStyle w:val="230"/>
              <w:ind w:firstLine="0" w:firstLineChars="0"/>
              <w:jc w:val="center"/>
              <w:rPr>
                <w:rFonts w:ascii="Times New Roman"/>
                <w:szCs w:val="21"/>
              </w:rPr>
            </w:pPr>
            <w:r>
              <w:rPr>
                <w:rFonts w:hint="eastAsia" w:ascii="Times New Roman"/>
                <w:szCs w:val="21"/>
              </w:rPr>
              <w:t>10%烟碱水剂</w:t>
            </w:r>
          </w:p>
        </w:tc>
        <w:tc>
          <w:tcPr>
            <w:tcW w:w="1293" w:type="pct"/>
            <w:vAlign w:val="center"/>
          </w:tcPr>
          <w:p>
            <w:pPr>
              <w:pStyle w:val="230"/>
              <w:ind w:firstLine="0" w:firstLineChars="0"/>
              <w:jc w:val="center"/>
              <w:rPr>
                <w:rFonts w:ascii="Times New Roman"/>
                <w:szCs w:val="21"/>
              </w:rPr>
            </w:pPr>
            <w:r>
              <w:rPr>
                <w:rFonts w:hint="eastAsia" w:ascii="Times New Roman"/>
                <w:szCs w:val="21"/>
              </w:rPr>
              <w:t>8 g~10 g</w:t>
            </w:r>
          </w:p>
        </w:tc>
        <w:tc>
          <w:tcPr>
            <w:tcW w:w="601" w:type="pct"/>
            <w:vMerge w:val="continue"/>
            <w:vAlign w:val="center"/>
          </w:tcPr>
          <w:p>
            <w:pPr>
              <w:pStyle w:val="230"/>
              <w:ind w:firstLine="0" w:firstLineChars="0"/>
              <w:jc w:val="center"/>
              <w:rPr>
                <w:rFonts w:ascii="Times New Roman"/>
                <w:szCs w:val="21"/>
              </w:rPr>
            </w:pP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10</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27" w:type="pct"/>
            <w:tcBorders>
              <w:left w:val="single" w:color="auto" w:sz="8" w:space="0"/>
            </w:tcBorders>
            <w:vAlign w:val="center"/>
          </w:tcPr>
          <w:p>
            <w:pPr>
              <w:pStyle w:val="230"/>
              <w:ind w:firstLine="0" w:firstLineChars="0"/>
              <w:jc w:val="center"/>
              <w:rPr>
                <w:rFonts w:ascii="Times New Roman"/>
                <w:szCs w:val="21"/>
              </w:rPr>
            </w:pPr>
            <w:r>
              <w:rPr>
                <w:rFonts w:hint="eastAsia" w:ascii="Times New Roman"/>
                <w:szCs w:val="21"/>
              </w:rPr>
              <w:t>粉虱</w:t>
            </w:r>
          </w:p>
        </w:tc>
        <w:tc>
          <w:tcPr>
            <w:tcW w:w="2053" w:type="pct"/>
            <w:vAlign w:val="center"/>
          </w:tcPr>
          <w:p>
            <w:pPr>
              <w:pStyle w:val="230"/>
              <w:ind w:firstLine="0" w:firstLineChars="0"/>
              <w:jc w:val="center"/>
              <w:rPr>
                <w:rFonts w:ascii="Times New Roman"/>
                <w:szCs w:val="21"/>
              </w:rPr>
            </w:pPr>
            <w:r>
              <w:rPr>
                <w:rFonts w:hint="eastAsia" w:ascii="Times New Roman"/>
                <w:szCs w:val="21"/>
              </w:rPr>
              <w:t>22%螺虫</w:t>
            </w:r>
            <w:r>
              <w:t>·</w:t>
            </w:r>
            <w:r>
              <w:rPr>
                <w:rFonts w:hint="eastAsia" w:ascii="Times New Roman"/>
                <w:szCs w:val="21"/>
              </w:rPr>
              <w:t>噻虫啉悬浮剂</w:t>
            </w:r>
          </w:p>
        </w:tc>
        <w:tc>
          <w:tcPr>
            <w:tcW w:w="1293" w:type="pct"/>
            <w:vAlign w:val="center"/>
          </w:tcPr>
          <w:p>
            <w:pPr>
              <w:pStyle w:val="230"/>
              <w:ind w:firstLine="0" w:firstLineChars="0"/>
              <w:jc w:val="center"/>
              <w:rPr>
                <w:rFonts w:ascii="Times New Roman"/>
                <w:szCs w:val="21"/>
              </w:rPr>
            </w:pPr>
            <w:r>
              <w:rPr>
                <w:rFonts w:hint="eastAsia" w:ascii="Times New Roman"/>
                <w:szCs w:val="21"/>
              </w:rPr>
              <w:t>30 mL~40 mL</w:t>
            </w:r>
          </w:p>
        </w:tc>
        <w:tc>
          <w:tcPr>
            <w:tcW w:w="601" w:type="pct"/>
            <w:vAlign w:val="center"/>
          </w:tcPr>
          <w:p>
            <w:pPr>
              <w:pStyle w:val="230"/>
              <w:ind w:firstLine="0" w:firstLineChars="0"/>
              <w:jc w:val="center"/>
              <w:rPr>
                <w:rFonts w:ascii="Times New Roman"/>
                <w:szCs w:val="21"/>
              </w:rPr>
            </w:pPr>
            <w:r>
              <w:rPr>
                <w:rFonts w:hint="eastAsia" w:ascii="Times New Roman"/>
                <w:szCs w:val="21"/>
              </w:rPr>
              <w:t>喷雾</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3</w:t>
            </w:r>
            <w:r>
              <w:rPr>
                <w:rFonts w:hint="eastAsia" w:ascii="Times New Roman"/>
                <w:szCs w:val="21"/>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27" w:type="pct"/>
            <w:tcBorders>
              <w:left w:val="single" w:color="auto" w:sz="8" w:space="0"/>
            </w:tcBorders>
            <w:vAlign w:val="center"/>
          </w:tcPr>
          <w:p>
            <w:pPr>
              <w:pStyle w:val="230"/>
              <w:ind w:firstLine="0" w:firstLineChars="0"/>
              <w:jc w:val="center"/>
              <w:rPr>
                <w:rFonts w:ascii="Times New Roman"/>
                <w:szCs w:val="21"/>
              </w:rPr>
            </w:pPr>
            <w:r>
              <w:rPr>
                <w:rFonts w:ascii="Times New Roman" w:hAnsi="宋体"/>
                <w:szCs w:val="21"/>
              </w:rPr>
              <w:t>斑潜蝇</w:t>
            </w:r>
          </w:p>
        </w:tc>
        <w:tc>
          <w:tcPr>
            <w:tcW w:w="2053" w:type="pct"/>
            <w:vAlign w:val="center"/>
          </w:tcPr>
          <w:p>
            <w:pPr>
              <w:pStyle w:val="230"/>
              <w:ind w:firstLine="0" w:firstLineChars="0"/>
              <w:jc w:val="center"/>
              <w:rPr>
                <w:rFonts w:ascii="Times New Roman"/>
                <w:szCs w:val="21"/>
              </w:rPr>
            </w:pPr>
            <w:r>
              <w:rPr>
                <w:rFonts w:ascii="Times New Roman"/>
                <w:szCs w:val="21"/>
              </w:rPr>
              <w:t>0.</w:t>
            </w:r>
            <w:r>
              <w:rPr>
                <w:rFonts w:hint="eastAsia" w:ascii="Times New Roman"/>
                <w:szCs w:val="21"/>
              </w:rPr>
              <w:t>8</w:t>
            </w:r>
            <w:r>
              <w:rPr>
                <w:rFonts w:ascii="Times New Roman"/>
                <w:szCs w:val="21"/>
              </w:rPr>
              <w:t>%</w:t>
            </w:r>
            <w:r>
              <w:rPr>
                <w:rFonts w:ascii="Times New Roman" w:hAnsi="宋体"/>
                <w:szCs w:val="21"/>
              </w:rPr>
              <w:t>阿维</w:t>
            </w:r>
            <w:r>
              <w:rPr>
                <w:rFonts w:ascii="Times New Roman"/>
                <w:szCs w:val="21"/>
              </w:rPr>
              <w:t>·</w:t>
            </w:r>
            <w:r>
              <w:rPr>
                <w:rFonts w:ascii="Times New Roman" w:hAnsi="宋体"/>
                <w:szCs w:val="21"/>
              </w:rPr>
              <w:t>印楝乳油</w:t>
            </w:r>
          </w:p>
        </w:tc>
        <w:tc>
          <w:tcPr>
            <w:tcW w:w="1293" w:type="pct"/>
            <w:vAlign w:val="center"/>
          </w:tcPr>
          <w:p>
            <w:pPr>
              <w:pStyle w:val="230"/>
              <w:ind w:firstLine="0" w:firstLineChars="0"/>
              <w:jc w:val="center"/>
              <w:rPr>
                <w:rFonts w:ascii="Times New Roman"/>
                <w:szCs w:val="21"/>
              </w:rPr>
            </w:pPr>
            <w:r>
              <w:rPr>
                <w:rFonts w:hint="eastAsia" w:ascii="Times New Roman"/>
                <w:szCs w:val="21"/>
              </w:rPr>
              <w:t>10 mL~15 mL</w:t>
            </w:r>
          </w:p>
        </w:tc>
        <w:tc>
          <w:tcPr>
            <w:tcW w:w="601" w:type="pct"/>
            <w:vAlign w:val="center"/>
          </w:tcPr>
          <w:p>
            <w:pPr>
              <w:pStyle w:val="230"/>
              <w:ind w:firstLine="0" w:firstLineChars="0"/>
              <w:jc w:val="center"/>
              <w:rPr>
                <w:rFonts w:ascii="Times New Roman"/>
                <w:szCs w:val="21"/>
              </w:rPr>
            </w:pPr>
            <w:r>
              <w:rPr>
                <w:rFonts w:ascii="Times New Roman" w:hAnsi="宋体"/>
                <w:szCs w:val="21"/>
              </w:rPr>
              <w:t>喷雾</w:t>
            </w:r>
          </w:p>
        </w:tc>
        <w:tc>
          <w:tcPr>
            <w:tcW w:w="526" w:type="pct"/>
            <w:tcBorders>
              <w:right w:val="single" w:color="auto" w:sz="8" w:space="0"/>
            </w:tcBorders>
            <w:vAlign w:val="center"/>
          </w:tcPr>
          <w:p>
            <w:pPr>
              <w:pStyle w:val="230"/>
              <w:ind w:firstLine="0" w:firstLineChars="0"/>
              <w:jc w:val="center"/>
              <w:rPr>
                <w:rFonts w:ascii="Times New Roman"/>
                <w:szCs w:val="21"/>
              </w:rPr>
            </w:pPr>
            <w:r>
              <w:rPr>
                <w:rFonts w:ascii="Times New Roman"/>
                <w:szCs w:val="21"/>
              </w:rPr>
              <w:t>7</w:t>
            </w:r>
            <w:r>
              <w:rPr>
                <w:rFonts w:hint="eastAsia" w:ascii="Times New Roman"/>
                <w:szCs w:val="21"/>
              </w:rPr>
              <w:t xml:space="preserve"> d</w:t>
            </w:r>
          </w:p>
        </w:tc>
      </w:tr>
    </w:tbl>
    <w:p>
      <w:pPr>
        <w:pStyle w:val="56"/>
        <w:ind w:firstLine="420"/>
      </w:pPr>
    </w:p>
    <w:p>
      <w:pPr>
        <w:pStyle w:val="56"/>
        <w:ind w:firstLine="420"/>
      </w:pPr>
    </w:p>
    <w:p>
      <w:pPr>
        <w:pStyle w:val="56"/>
        <w:ind w:firstLine="420"/>
      </w:pPr>
    </w:p>
    <w:bookmarkEnd w:id="50"/>
    <w:p>
      <w:pPr>
        <w:pStyle w:val="56"/>
        <w:ind w:firstLine="0" w:firstLineChars="0"/>
        <w:jc w:val="center"/>
      </w:pPr>
      <w:bookmarkStart w:id="5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DB14/T 1223—XXXX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1223—XXXX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142"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0B55DC2"/>
    <w:multiLevelType w:val="multilevel"/>
    <w:tmpl w:val="60B55DC2"/>
    <w:lvl w:ilvl="0" w:tentative="0">
      <w:start w:val="1"/>
      <w:numFmt w:val="upperLetter"/>
      <w:pStyle w:val="239"/>
      <w:lvlText w:val="%1"/>
      <w:lvlJc w:val="left"/>
      <w:pPr>
        <w:tabs>
          <w:tab w:val="left" w:pos="0"/>
        </w:tabs>
        <w:ind w:left="0" w:hanging="425"/>
      </w:pPr>
      <w:rPr>
        <w:rFonts w:hint="eastAsia"/>
      </w:rPr>
    </w:lvl>
    <w:lvl w:ilvl="1" w:tentative="0">
      <w:start w:val="1"/>
      <w:numFmt w:val="decimal"/>
      <w:pStyle w:val="24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attachedTemplate r:id="rId1"/>
  <w:documentProtection w:edit="forms" w:enforcement="1" w:cryptProviderType="rsaAES" w:cryptAlgorithmClass="hash" w:cryptAlgorithmType="typeAny" w:cryptAlgorithmSid="14" w:cryptSpinCount="100000" w:hash="WQeBUqzreVTRGZxzyv7TY/cF5pGydOBgkTrNBcj4UrqEsq8vGNTMc9dWw5P7p97KR2o2smOVKLy+uhzA9u/9nQ==" w:salt="pAbK/ekEOtttKheQxYMbd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3MTVhNmM1NGY5ODY2ZjE0YzZkN2Q3ZWU1ZjQyMTUifQ=="/>
  </w:docVars>
  <w:rsids>
    <w:rsidRoot w:val="00F532E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E66"/>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0B9"/>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E84"/>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385"/>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9DA"/>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9BD"/>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3F8"/>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32EC"/>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CB6D28"/>
    <w:rsid w:val="092B4335"/>
    <w:rsid w:val="0CE02843"/>
    <w:rsid w:val="18F25579"/>
    <w:rsid w:val="22035053"/>
    <w:rsid w:val="23B62213"/>
    <w:rsid w:val="285847BA"/>
    <w:rsid w:val="358E36BA"/>
    <w:rsid w:val="4D1C4610"/>
    <w:rsid w:val="4D874DCD"/>
    <w:rsid w:val="6B6F3E17"/>
    <w:rsid w:val="78917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autoRedefine/>
    <w:qFormat/>
    <w:uiPriority w:val="0"/>
    <w:rPr>
      <w:rFonts w:ascii="宋体" w:hAnsi="Times New Roman"/>
      <w:sz w:val="21"/>
    </w:rPr>
  </w:style>
  <w:style w:type="paragraph" w:customStyle="1" w:styleId="232">
    <w:name w:val="一级条标题"/>
    <w:next w:val="230"/>
    <w:autoRedefine/>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章标题"/>
    <w:next w:val="230"/>
    <w:autoRedefine/>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2"/>
    <w:next w:val="230"/>
    <w:autoRedefine/>
    <w:qFormat/>
    <w:uiPriority w:val="0"/>
    <w:pPr>
      <w:numPr>
        <w:ilvl w:val="2"/>
      </w:numPr>
      <w:spacing w:before="50" w:after="50"/>
      <w:outlineLvl w:val="3"/>
    </w:pPr>
  </w:style>
  <w:style w:type="paragraph" w:customStyle="1" w:styleId="236">
    <w:name w:val="三级条标题"/>
    <w:basedOn w:val="235"/>
    <w:next w:val="230"/>
    <w:autoRedefine/>
    <w:qFormat/>
    <w:uiPriority w:val="0"/>
    <w:pPr>
      <w:numPr>
        <w:ilvl w:val="3"/>
      </w:numPr>
      <w:outlineLvl w:val="4"/>
    </w:pPr>
  </w:style>
  <w:style w:type="paragraph" w:customStyle="1" w:styleId="237">
    <w:name w:val="四级条标题"/>
    <w:basedOn w:val="236"/>
    <w:next w:val="230"/>
    <w:autoRedefine/>
    <w:qFormat/>
    <w:uiPriority w:val="0"/>
    <w:pPr>
      <w:numPr>
        <w:ilvl w:val="4"/>
      </w:numPr>
      <w:outlineLvl w:val="5"/>
    </w:pPr>
  </w:style>
  <w:style w:type="paragraph" w:customStyle="1" w:styleId="238">
    <w:name w:val="五级条标题"/>
    <w:basedOn w:val="237"/>
    <w:next w:val="230"/>
    <w:autoRedefine/>
    <w:qFormat/>
    <w:uiPriority w:val="0"/>
    <w:pPr>
      <w:numPr>
        <w:ilvl w:val="5"/>
      </w:numPr>
      <w:outlineLvl w:val="6"/>
    </w:pPr>
  </w:style>
  <w:style w:type="paragraph" w:customStyle="1" w:styleId="239">
    <w:name w:val="附录表标号"/>
    <w:basedOn w:val="1"/>
    <w:next w:val="230"/>
    <w:autoRedefine/>
    <w:qFormat/>
    <w:uiPriority w:val="0"/>
    <w:pPr>
      <w:numPr>
        <w:ilvl w:val="0"/>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240">
    <w:name w:val="附录表标题"/>
    <w:basedOn w:val="1"/>
    <w:next w:val="230"/>
    <w:autoRedefine/>
    <w:qFormat/>
    <w:uiPriority w:val="0"/>
    <w:pPr>
      <w:numPr>
        <w:ilvl w:val="1"/>
        <w:numId w:val="33"/>
      </w:numPr>
      <w:tabs>
        <w:tab w:val="left" w:pos="180"/>
      </w:tabs>
      <w:adjustRightInd/>
      <w:spacing w:before="50" w:beforeLines="50" w:after="50" w:afterLines="50" w:line="240" w:lineRule="auto"/>
      <w:ind w:left="0" w:firstLine="0"/>
      <w:jc w:val="center"/>
    </w:pPr>
    <w:rPr>
      <w:rFonts w:ascii="黑体" w:hAnsi="Times New Roman"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CCCDCF1C0774800B8B98FB9CE4B1FC4"/>
        <w:style w:val=""/>
        <w:category>
          <w:name w:val="常规"/>
          <w:gallery w:val="placeholder"/>
        </w:category>
        <w:types>
          <w:type w:val="bbPlcHdr"/>
        </w:types>
        <w:behaviors>
          <w:behavior w:val="content"/>
        </w:behaviors>
        <w:description w:val=""/>
        <w:guid w:val="{3A95A2A9-2804-488A-99FF-6D3A7D7AF662}"/>
      </w:docPartPr>
      <w:docPartBody>
        <w:p>
          <w:pPr>
            <w:pStyle w:val="5"/>
          </w:pPr>
          <w:r>
            <w:rPr>
              <w:rStyle w:val="4"/>
              <w:rFonts w:hint="eastAsia"/>
            </w:rPr>
            <w:t>单击或点击此处输入文字。</w:t>
          </w:r>
        </w:p>
      </w:docPartBody>
    </w:docPart>
    <w:docPart>
      <w:docPartPr>
        <w:name w:val="5549BBE0507747ED8B0D654EFD07F43D"/>
        <w:style w:val=""/>
        <w:category>
          <w:name w:val="常规"/>
          <w:gallery w:val="placeholder"/>
        </w:category>
        <w:types>
          <w:type w:val="bbPlcHdr"/>
        </w:types>
        <w:behaviors>
          <w:behavior w:val="content"/>
        </w:behaviors>
        <w:description w:val=""/>
        <w:guid w:val="{8F56435C-637F-4607-ABD5-F907B457BDD7}"/>
      </w:docPartPr>
      <w:docPartBody>
        <w:p>
          <w:pPr>
            <w:pStyle w:val="6"/>
          </w:pPr>
          <w:r>
            <w:rPr>
              <w:rStyle w:val="4"/>
              <w:rFonts w:hint="eastAsia"/>
            </w:rPr>
            <w:t>选择一项。</w:t>
          </w:r>
        </w:p>
      </w:docPartBody>
    </w:docPart>
    <w:docPart>
      <w:docPartPr>
        <w:name w:val="6239372846D342FD934CA009771BB770"/>
        <w:style w:val=""/>
        <w:category>
          <w:name w:val="常规"/>
          <w:gallery w:val="placeholder"/>
        </w:category>
        <w:types>
          <w:type w:val="bbPlcHdr"/>
        </w:types>
        <w:behaviors>
          <w:behavior w:val="content"/>
        </w:behaviors>
        <w:description w:val=""/>
        <w:guid w:val="{DFE9BF8B-93DC-498B-9599-6266E3AB37E9}"/>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C7E"/>
    <w:rsid w:val="00167C7E"/>
    <w:rsid w:val="00586661"/>
    <w:rsid w:val="008205CD"/>
    <w:rsid w:val="00A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CCCDCF1C0774800B8B98FB9CE4B1FC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549BBE0507747ED8B0D654EFD07F43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239372846D342FD934CA009771BB77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521BAC-D67C-42FB-BC2D-803759695F3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2755</Words>
  <Characters>3183</Characters>
  <Lines>31</Lines>
  <Paragraphs>8</Paragraphs>
  <TotalTime>86</TotalTime>
  <ScaleCrop>false</ScaleCrop>
  <LinksUpToDate>false</LinksUpToDate>
  <CharactersWithSpaces>3348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2024-08-02T06:25:00Z</dcterms:created>
  <dc:creator>lenovo</dc:creator>
  <dc:description>&lt;config cover="true" show_menu="true" version="1.0.0" doctype="SDKXY"&gt;_x000d_
&lt;/config&gt;</dc:description>
  <cp:lastModifiedBy>wangliying</cp:lastModifiedBy>
  <cp:lastPrinted>2020-08-30T10:00:00Z</cp:lastPrinted>
  <dcterms:modified xsi:type="dcterms:W3CDTF">2024-08-06T02:39:24Z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6FA940C71D5B4297A195BBAA47A5C584_13</vt:lpwstr>
  </property>
</Properties>
</file>